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8AEA7" w14:textId="77777777" w:rsidR="001F24C9" w:rsidRDefault="00000000">
      <w:pPr>
        <w:shd w:val="clear" w:color="auto" w:fill="8EAADB" w:themeFill="accent1" w:themeFillTint="99"/>
        <w:spacing w:before="120" w:after="120" w:line="240" w:lineRule="auto"/>
        <w:rPr>
          <w:rFonts w:cs="Calibri"/>
          <w:sz w:val="28"/>
          <w:szCs w:val="28"/>
        </w:rPr>
      </w:pPr>
      <w:r>
        <w:rPr>
          <w:rFonts w:cs="Calibri"/>
          <w:sz w:val="28"/>
          <w:szCs w:val="28"/>
        </w:rPr>
        <w:t>RUBRIQUE 1 : IDENTIFICATION DU MÉLANGE ET DE LA SOCIÉTÉ</w:t>
      </w:r>
    </w:p>
    <w:p w14:paraId="5E311B27"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1.1 Identificateur de produit</w:t>
      </w:r>
    </w:p>
    <w:tbl>
      <w:tblPr>
        <w:tblStyle w:val="Grilledutableau"/>
        <w:tblW w:w="10456" w:type="dxa"/>
        <w:tblLayout w:type="fixed"/>
        <w:tblLook w:val="04A0" w:firstRow="1" w:lastRow="0" w:firstColumn="1" w:lastColumn="0" w:noHBand="0" w:noVBand="1"/>
      </w:tblPr>
      <w:tblGrid>
        <w:gridCol w:w="5228"/>
        <w:gridCol w:w="5228"/>
      </w:tblGrid>
      <w:tr w:rsidR="001F24C9" w14:paraId="7859A8B5" w14:textId="77777777">
        <w:trPr>
          <w:trHeight w:val="330"/>
        </w:trPr>
        <w:tc>
          <w:tcPr>
            <w:tcW w:w="5228" w:type="dxa"/>
            <w:tcBorders>
              <w:top w:val="nil"/>
              <w:left w:val="nil"/>
              <w:bottom w:val="nil"/>
              <w:right w:val="nil"/>
            </w:tcBorders>
          </w:tcPr>
          <w:p w14:paraId="1CEB82E2" w14:textId="77777777" w:rsidR="001F24C9" w:rsidRDefault="00000000">
            <w:pPr>
              <w:spacing w:after="120"/>
              <w:rPr>
                <w:rFonts w:cs="Calibri"/>
              </w:rPr>
            </w:pPr>
            <w:r>
              <w:rPr>
                <w:rFonts w:cs="Calibri"/>
              </w:rPr>
              <w:t>Forme du produit</w:t>
            </w:r>
          </w:p>
        </w:tc>
        <w:tc>
          <w:tcPr>
            <w:tcW w:w="5228" w:type="dxa"/>
            <w:tcBorders>
              <w:top w:val="nil"/>
              <w:left w:val="nil"/>
              <w:bottom w:val="nil"/>
              <w:right w:val="nil"/>
            </w:tcBorders>
          </w:tcPr>
          <w:p w14:paraId="1208D82B" w14:textId="77777777" w:rsidR="001F24C9" w:rsidRDefault="00000000">
            <w:pPr>
              <w:spacing w:after="120"/>
              <w:rPr>
                <w:rFonts w:cs="Calibri"/>
              </w:rPr>
            </w:pPr>
            <w:r>
              <w:rPr>
                <w:rFonts w:cs="Calibri"/>
              </w:rPr>
              <w:t>: Mélange</w:t>
            </w:r>
          </w:p>
        </w:tc>
      </w:tr>
      <w:tr w:rsidR="001F24C9" w14:paraId="68FB6F31" w14:textId="77777777">
        <w:tc>
          <w:tcPr>
            <w:tcW w:w="5228" w:type="dxa"/>
            <w:tcBorders>
              <w:top w:val="nil"/>
              <w:left w:val="nil"/>
              <w:bottom w:val="nil"/>
              <w:right w:val="nil"/>
            </w:tcBorders>
          </w:tcPr>
          <w:p w14:paraId="22AA25B6" w14:textId="77777777" w:rsidR="001F24C9" w:rsidRDefault="00000000">
            <w:pPr>
              <w:spacing w:after="120"/>
              <w:rPr>
                <w:rFonts w:cs="Calibri"/>
              </w:rPr>
            </w:pPr>
            <w:r>
              <w:rPr>
                <w:rFonts w:cs="Calibri"/>
              </w:rPr>
              <w:t>Nom du produit</w:t>
            </w:r>
          </w:p>
        </w:tc>
        <w:tc>
          <w:tcPr>
            <w:tcW w:w="5228" w:type="dxa"/>
            <w:tcBorders>
              <w:top w:val="nil"/>
              <w:left w:val="nil"/>
              <w:bottom w:val="nil"/>
              <w:right w:val="nil"/>
            </w:tcBorders>
          </w:tcPr>
          <w:p w14:paraId="747577A1" w14:textId="77777777" w:rsidR="001F24C9" w:rsidRDefault="00000000">
            <w:pPr>
              <w:spacing w:after="120"/>
              <w:rPr>
                <w:rFonts w:cs="Calibri"/>
              </w:rPr>
            </w:pPr>
            <w:r>
              <w:rPr>
                <w:rFonts w:cs="Calibri"/>
              </w:rPr>
              <w:t>: Bougie cerise noire explosive 10%</w:t>
            </w:r>
          </w:p>
          <w:p w14:paraId="597B4463" w14:textId="77777777" w:rsidR="001F24C9" w:rsidRDefault="00000000">
            <w:pPr>
              <w:spacing w:after="120"/>
              <w:rPr>
                <w:rFonts w:cs="Calibri"/>
              </w:rPr>
            </w:pPr>
            <w:r>
              <w:rPr>
                <w:rFonts w:cs="Calibri"/>
              </w:rPr>
              <w:t xml:space="preserve">: QUINN CRAFTS </w:t>
            </w:r>
          </w:p>
        </w:tc>
      </w:tr>
    </w:tbl>
    <w:p w14:paraId="10E593DA"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1.2 Utilisations identifiées pertinentes du mélange et utilisations déconseillées</w:t>
      </w:r>
    </w:p>
    <w:p w14:paraId="5265DEFF" w14:textId="77777777" w:rsidR="001F24C9" w:rsidRDefault="00000000">
      <w:pPr>
        <w:spacing w:before="120" w:after="120" w:line="240" w:lineRule="auto"/>
        <w:rPr>
          <w:rFonts w:cs="Calibri"/>
        </w:rPr>
      </w:pPr>
      <w:r>
        <w:rPr>
          <w:rFonts w:cs="Calibri"/>
        </w:rPr>
        <w:t>Utilisations conseillées : Bougie parfumante</w:t>
      </w:r>
    </w:p>
    <w:p w14:paraId="2928BD72" w14:textId="77777777" w:rsidR="001F24C9" w:rsidRDefault="00000000">
      <w:pPr>
        <w:spacing w:before="120" w:after="120" w:line="240" w:lineRule="auto"/>
        <w:rPr>
          <w:rFonts w:cs="Calibri"/>
        </w:rPr>
      </w:pPr>
      <w:r>
        <w:rPr>
          <w:rFonts w:cs="Calibri"/>
        </w:rPr>
        <w:t>Utilisations déconseillées : Pas d’informations</w:t>
      </w:r>
    </w:p>
    <w:p w14:paraId="1AF88BF8"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1.3 Renseignements concernant le fournisseur de la fiche de données de sécurité</w:t>
      </w:r>
    </w:p>
    <w:p w14:paraId="5648A8C3" w14:textId="4AF185C7" w:rsidR="001F24C9" w:rsidRDefault="00BC10BB">
      <w:pPr>
        <w:shd w:val="clear" w:color="auto" w:fill="FFFFFF"/>
        <w:suppressAutoHyphens w:val="0"/>
        <w:spacing w:after="0" w:line="240" w:lineRule="auto"/>
        <w:textAlignment w:val="auto"/>
        <w:rPr>
          <w:rFonts w:cs="Calibri"/>
        </w:rPr>
      </w:pPr>
      <w:r w:rsidRPr="00BC10BB">
        <w:rPr>
          <w:rFonts w:cs="Calibri"/>
        </w:rPr>
        <w:t>ANA BEAUTÉ – Quinn Crafts</w:t>
      </w:r>
      <w:r w:rsidRPr="00BC10BB">
        <w:rPr>
          <w:rFonts w:cs="Calibri"/>
        </w:rPr>
        <w:br/>
        <w:t>SIREN : 912166022</w:t>
      </w:r>
      <w:r w:rsidRPr="00BC10BB">
        <w:rPr>
          <w:rFonts w:cs="Calibri"/>
        </w:rPr>
        <w:br/>
        <w:t>6 Avenue Aristide Briand, 39100 Dole</w:t>
      </w:r>
      <w:r w:rsidRPr="00BC10BB">
        <w:rPr>
          <w:rFonts w:cs="Calibri"/>
        </w:rPr>
        <w:br/>
        <w:t>Téléphone : 06 70 75 05 04</w:t>
      </w:r>
      <w:r w:rsidRPr="00BC10BB">
        <w:rPr>
          <w:rFonts w:cs="Calibri"/>
        </w:rPr>
        <w:br/>
        <w:t xml:space="preserve">E-mail : </w:t>
      </w:r>
      <w:hyperlink r:id="rId7" w:history="1">
        <w:r w:rsidRPr="00BC10BB">
          <w:rPr>
            <w:rStyle w:val="Lienhypertexte"/>
            <w:rFonts w:cs="Calibri"/>
          </w:rPr>
          <w:t>info@quinncrafts.fr</w:t>
        </w:r>
      </w:hyperlink>
    </w:p>
    <w:p w14:paraId="3C7F2E80" w14:textId="77777777" w:rsidR="001F24C9" w:rsidRDefault="001F24C9">
      <w:pPr>
        <w:shd w:val="clear" w:color="auto" w:fill="FFFFFF"/>
        <w:suppressAutoHyphens w:val="0"/>
        <w:spacing w:after="0" w:line="240" w:lineRule="auto"/>
        <w:textAlignment w:val="auto"/>
        <w:rPr>
          <w:rFonts w:cs="Calibri"/>
        </w:rPr>
      </w:pPr>
    </w:p>
    <w:p w14:paraId="7627B02D"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1.4 Numéro d’appel d’urgence</w:t>
      </w:r>
    </w:p>
    <w:p w14:paraId="6B9E99B8" w14:textId="77777777" w:rsidR="001F24C9" w:rsidRDefault="00000000">
      <w:pPr>
        <w:spacing w:before="120" w:after="120" w:line="240" w:lineRule="auto"/>
        <w:rPr>
          <w:rFonts w:cs="Calibri"/>
        </w:rPr>
      </w:pPr>
      <w:r>
        <w:rPr>
          <w:rFonts w:cs="Calibri"/>
        </w:rPr>
        <w:t>Numéro d'urgence ORFILA : 01 45 42 59 59 (7j/7, 24h/24)</w:t>
      </w:r>
    </w:p>
    <w:p w14:paraId="3E7C0CEC" w14:textId="77777777" w:rsidR="001F24C9" w:rsidRDefault="00000000">
      <w:pPr>
        <w:shd w:val="clear" w:color="auto" w:fill="8EAADB" w:themeFill="accent1" w:themeFillTint="99"/>
        <w:spacing w:before="120" w:after="120" w:line="240" w:lineRule="auto"/>
        <w:rPr>
          <w:rFonts w:cs="Calibri"/>
          <w:sz w:val="28"/>
          <w:szCs w:val="28"/>
        </w:rPr>
      </w:pPr>
      <w:r>
        <w:rPr>
          <w:rFonts w:cs="Calibri"/>
          <w:sz w:val="28"/>
          <w:szCs w:val="28"/>
        </w:rPr>
        <w:t>RUBRIQUE 2 : IDENTIFICATION DES DANGERS</w:t>
      </w:r>
    </w:p>
    <w:p w14:paraId="380894EC"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 xml:space="preserve">2.1 Classification de la substance ou du mélange </w:t>
      </w:r>
    </w:p>
    <w:p w14:paraId="3C45FDBF" w14:textId="77777777" w:rsidR="001F24C9" w:rsidRDefault="00000000">
      <w:pPr>
        <w:spacing w:before="120" w:after="120" w:line="240" w:lineRule="auto"/>
        <w:rPr>
          <w:rFonts w:cs="Calibri"/>
        </w:rPr>
      </w:pPr>
      <w:r>
        <w:rPr>
          <w:rFonts w:cs="Calibri"/>
        </w:rPr>
        <w:t>Ce produit est considéré comme un mélange. Classification selon les critères du règlement CE 1272/2008.</w:t>
      </w:r>
    </w:p>
    <w:p w14:paraId="64246452" w14:textId="77777777" w:rsidR="001F24C9" w:rsidRDefault="00000000">
      <w:pPr>
        <w:spacing w:before="120" w:after="120" w:line="240" w:lineRule="auto"/>
        <w:rPr>
          <w:rFonts w:cs="Calibri"/>
        </w:rPr>
      </w:pPr>
      <w:r>
        <w:rPr>
          <w:rFonts w:cs="Calibri"/>
        </w:rPr>
        <w:t>Non classé.</w:t>
      </w:r>
    </w:p>
    <w:p w14:paraId="6329991F"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2.2 Éléments d’étiquetage</w:t>
      </w:r>
    </w:p>
    <w:tbl>
      <w:tblPr>
        <w:tblStyle w:val="SDSTableWithoutBorders"/>
        <w:tblW w:w="10486" w:type="dxa"/>
        <w:tblLayout w:type="fixed"/>
        <w:tblLook w:val="04A0" w:firstRow="1" w:lastRow="0" w:firstColumn="1" w:lastColumn="0" w:noHBand="0" w:noVBand="1"/>
      </w:tblPr>
      <w:tblGrid>
        <w:gridCol w:w="3684"/>
        <w:gridCol w:w="114"/>
        <w:gridCol w:w="6688"/>
      </w:tblGrid>
      <w:tr w:rsidR="001F24C9" w14:paraId="33C8CE15" w14:textId="77777777">
        <w:tc>
          <w:tcPr>
            <w:tcW w:w="3684" w:type="dxa"/>
          </w:tcPr>
          <w:p w14:paraId="4DE4135A" w14:textId="77777777" w:rsidR="001F24C9" w:rsidRDefault="00000000">
            <w:pPr>
              <w:pStyle w:val="SDSTableTextNormal"/>
              <w:rPr>
                <w:rFonts w:ascii="Calibri" w:eastAsia="Calibri" w:hAnsi="Calibri" w:cs="Calibri"/>
                <w:sz w:val="22"/>
                <w:szCs w:val="22"/>
                <w:lang w:val="fr-FR" w:eastAsia="en-US"/>
              </w:rPr>
            </w:pPr>
            <w:r>
              <w:rPr>
                <w:rFonts w:ascii="Calibri" w:eastAsia="Calibri" w:hAnsi="Calibri" w:cs="Calibri"/>
                <w:sz w:val="22"/>
                <w:szCs w:val="22"/>
                <w:lang w:val="fr-FR" w:eastAsia="en-US"/>
              </w:rPr>
              <w:t>Contient</w:t>
            </w:r>
          </w:p>
        </w:tc>
        <w:tc>
          <w:tcPr>
            <w:tcW w:w="114" w:type="dxa"/>
          </w:tcPr>
          <w:p w14:paraId="41C73C69" w14:textId="77777777" w:rsidR="001F24C9" w:rsidRDefault="00000000">
            <w:pPr>
              <w:pStyle w:val="SDSTableTextColonColumn"/>
              <w:rPr>
                <w:rFonts w:ascii="Calibri" w:eastAsia="Calibri" w:hAnsi="Calibri" w:cs="Calibri"/>
                <w:sz w:val="22"/>
                <w:szCs w:val="22"/>
                <w:lang w:val="fr-FR" w:eastAsia="en-US"/>
              </w:rPr>
            </w:pPr>
            <w:r>
              <w:rPr>
                <w:rFonts w:ascii="Calibri" w:eastAsia="Calibri" w:hAnsi="Calibri" w:cs="Calibri"/>
                <w:sz w:val="22"/>
                <w:szCs w:val="22"/>
                <w:lang w:val="fr-FR" w:eastAsia="en-US"/>
              </w:rPr>
              <w:t>:</w:t>
            </w:r>
          </w:p>
        </w:tc>
        <w:tc>
          <w:tcPr>
            <w:tcW w:w="6688" w:type="dxa"/>
          </w:tcPr>
          <w:p w14:paraId="13656462" w14:textId="47945366" w:rsidR="001F24C9" w:rsidRDefault="00000000">
            <w:pPr>
              <w:pStyle w:val="SDSTableTextNormal"/>
              <w:keepLines w:val="0"/>
              <w:rPr>
                <w:rFonts w:ascii="Calibri" w:eastAsia="Calibri" w:hAnsi="Calibri" w:cs="Calibri"/>
                <w:sz w:val="22"/>
                <w:szCs w:val="22"/>
                <w:lang w:val="fr-FR" w:eastAsia="en-US"/>
              </w:rPr>
            </w:pPr>
            <w:r>
              <w:rPr>
                <w:rFonts w:ascii="Calibri" w:eastAsia="Calibri" w:hAnsi="Calibri" w:cs="Calibri"/>
                <w:sz w:val="22"/>
                <w:szCs w:val="22"/>
                <w:lang w:val="fr-FR" w:eastAsia="en-US"/>
              </w:rPr>
              <w:t xml:space="preserve">ACETATE ANISYLE(104-21-2), ALDEHYDE C16(77-83-8), </w:t>
            </w:r>
            <w:r w:rsidR="00826CA8" w:rsidRPr="00826CA8">
              <w:rPr>
                <w:rFonts w:ascii="Calibri" w:eastAsia="Calibri" w:hAnsi="Calibri" w:cs="Calibri"/>
                <w:sz w:val="22"/>
                <w:szCs w:val="22"/>
                <w:lang w:val="fr-FR" w:eastAsia="en-US"/>
              </w:rPr>
              <w:t>DAMASCENONE</w:t>
            </w:r>
            <w:r w:rsidR="00826CA8" w:rsidRPr="00826CA8">
              <w:rPr>
                <w:rFonts w:ascii="Calibri" w:eastAsia="Calibri" w:hAnsi="Calibri" w:cs="Calibri"/>
                <w:sz w:val="22"/>
                <w:szCs w:val="22"/>
                <w:lang w:val="fr-FR" w:eastAsia="en-US"/>
              </w:rPr>
              <w:t xml:space="preserve"> </w:t>
            </w:r>
            <w:r>
              <w:rPr>
                <w:rFonts w:ascii="Calibri" w:eastAsia="Calibri" w:hAnsi="Calibri" w:cs="Calibri"/>
                <w:sz w:val="22"/>
                <w:szCs w:val="22"/>
                <w:lang w:val="fr-FR" w:eastAsia="en-US"/>
              </w:rPr>
              <w:t>(23696-85-7), HELIOTROPINE(120-57-0). Peut produire une réaction allergique.</w:t>
            </w:r>
          </w:p>
        </w:tc>
      </w:tr>
      <w:tr w:rsidR="001F24C9" w14:paraId="683D184E" w14:textId="77777777">
        <w:tc>
          <w:tcPr>
            <w:tcW w:w="3684" w:type="dxa"/>
          </w:tcPr>
          <w:p w14:paraId="3996C43C" w14:textId="77777777" w:rsidR="001F24C9" w:rsidRDefault="00000000">
            <w:pPr>
              <w:pStyle w:val="SDSTableTextNormal"/>
              <w:rPr>
                <w:rFonts w:ascii="Calibri" w:eastAsia="Calibri" w:hAnsi="Calibri" w:cs="Calibri"/>
                <w:sz w:val="22"/>
                <w:szCs w:val="22"/>
                <w:lang w:val="fr-FR" w:eastAsia="en-US"/>
              </w:rPr>
            </w:pPr>
            <w:r>
              <w:rPr>
                <w:rFonts w:ascii="Calibri" w:eastAsia="Calibri" w:hAnsi="Calibri" w:cs="Calibri"/>
                <w:sz w:val="22"/>
                <w:szCs w:val="22"/>
                <w:lang w:val="fr-FR" w:eastAsia="en-US"/>
              </w:rPr>
              <w:t>Conseils de prudence (CLP)</w:t>
            </w:r>
          </w:p>
        </w:tc>
        <w:tc>
          <w:tcPr>
            <w:tcW w:w="114" w:type="dxa"/>
          </w:tcPr>
          <w:p w14:paraId="67F30C02" w14:textId="77777777" w:rsidR="001F24C9" w:rsidRDefault="00000000">
            <w:pPr>
              <w:pStyle w:val="SDSTableTextColonColumn"/>
              <w:rPr>
                <w:rFonts w:ascii="Calibri" w:eastAsia="Calibri" w:hAnsi="Calibri" w:cs="Calibri"/>
                <w:sz w:val="22"/>
                <w:szCs w:val="22"/>
                <w:lang w:val="fr-FR" w:eastAsia="en-US"/>
              </w:rPr>
            </w:pPr>
            <w:r>
              <w:rPr>
                <w:rFonts w:ascii="Calibri" w:eastAsia="Calibri" w:hAnsi="Calibri" w:cs="Calibri"/>
                <w:sz w:val="22"/>
                <w:szCs w:val="22"/>
                <w:lang w:val="fr-FR" w:eastAsia="en-US"/>
              </w:rPr>
              <w:t>:</w:t>
            </w:r>
          </w:p>
        </w:tc>
        <w:tc>
          <w:tcPr>
            <w:tcW w:w="6688" w:type="dxa"/>
          </w:tcPr>
          <w:p w14:paraId="72209D3D" w14:textId="77777777" w:rsidR="001F24C9" w:rsidRDefault="00000000">
            <w:pPr>
              <w:pStyle w:val="SDSTableTextNormal"/>
              <w:keepLines w:val="0"/>
              <w:rPr>
                <w:rFonts w:ascii="Calibri" w:eastAsia="Calibri" w:hAnsi="Calibri" w:cs="Calibri"/>
                <w:sz w:val="22"/>
                <w:szCs w:val="22"/>
                <w:lang w:val="fr-FR" w:eastAsia="en-US"/>
              </w:rPr>
            </w:pPr>
            <w:r>
              <w:rPr>
                <w:rFonts w:ascii="Calibri" w:eastAsia="Calibri" w:hAnsi="Calibri" w:cs="Calibri"/>
                <w:sz w:val="22"/>
                <w:szCs w:val="22"/>
                <w:lang w:val="fr-FR" w:eastAsia="en-US"/>
              </w:rPr>
              <w:t>P102 - Tenir hors de portée des enfants.</w:t>
            </w:r>
          </w:p>
        </w:tc>
      </w:tr>
    </w:tbl>
    <w:p w14:paraId="0ADA5EF3" w14:textId="77777777" w:rsidR="001F24C9" w:rsidRDefault="001F24C9">
      <w:pPr>
        <w:suppressAutoHyphens w:val="0"/>
        <w:rPr>
          <w:rFonts w:eastAsia="Times New Roman" w:cs="Calibri"/>
          <w:color w:val="000000"/>
          <w:lang w:eastAsia="fr-FR"/>
        </w:rPr>
      </w:pPr>
    </w:p>
    <w:p w14:paraId="7679585B"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2.3 Autres dangers</w:t>
      </w:r>
    </w:p>
    <w:p w14:paraId="283F9139" w14:textId="77777777" w:rsidR="001F24C9" w:rsidRDefault="00000000">
      <w:pPr>
        <w:spacing w:before="120" w:after="120" w:line="240" w:lineRule="auto"/>
        <w:rPr>
          <w:rFonts w:cs="Calibri"/>
        </w:rPr>
      </w:pPr>
      <w:r>
        <w:t>Ne contient pas de substances PBT/</w:t>
      </w:r>
      <w:proofErr w:type="spellStart"/>
      <w:r>
        <w:t>vPvB</w:t>
      </w:r>
      <w:proofErr w:type="spellEnd"/>
      <w:r>
        <w:t xml:space="preserve"> ≥ 0,1 % évaluées conformément à l’annexe XIII du règlement REACH</w:t>
      </w:r>
    </w:p>
    <w:p w14:paraId="29B2FC6B" w14:textId="77777777" w:rsidR="001F24C9" w:rsidRDefault="00000000">
      <w:pPr>
        <w:spacing w:before="120" w:after="120" w:line="240" w:lineRule="auto"/>
        <w:rPr>
          <w:rFonts w:cs="Calibri"/>
        </w:rPr>
      </w:pPr>
      <w:r>
        <w:rPr>
          <w:rFonts w:cs="Calibri"/>
        </w:rPr>
        <w:t>Le mélange ne contient pas de substances inscrites sur la liste établie conformément à l’article 59, paragraphe 1, de REACH comme ayant des propriétés perturbant le système endocrinien, ou n’est pas reconnu comme ayant des propriétés perturbant le système endocrinien conformément aux critères définis dans le Règlement délégué (UE) 2017/2100 de la Commission ou le Règlement (UE) 2018/605 de la Commission.</w:t>
      </w:r>
    </w:p>
    <w:p w14:paraId="528A5E00" w14:textId="77777777" w:rsidR="001F24C9" w:rsidRDefault="001F24C9">
      <w:pPr>
        <w:spacing w:before="120" w:after="120" w:line="240" w:lineRule="auto"/>
        <w:rPr>
          <w:rFonts w:cs="Calibri"/>
        </w:rPr>
      </w:pPr>
    </w:p>
    <w:p w14:paraId="21450AA2" w14:textId="77777777" w:rsidR="001F24C9" w:rsidRDefault="00000000">
      <w:pPr>
        <w:shd w:val="clear" w:color="auto" w:fill="8EAADB" w:themeFill="accent1" w:themeFillTint="99"/>
        <w:spacing w:before="120" w:after="120" w:line="240" w:lineRule="auto"/>
        <w:rPr>
          <w:rFonts w:cs="Calibri"/>
          <w:sz w:val="28"/>
          <w:szCs w:val="28"/>
        </w:rPr>
      </w:pPr>
      <w:r>
        <w:rPr>
          <w:rFonts w:cs="Calibri"/>
          <w:sz w:val="28"/>
          <w:szCs w:val="28"/>
        </w:rPr>
        <w:t>RUBRIQUE 3 : COMPOSITION/INFORMATIONS SUR LES COMPOSANTS</w:t>
      </w:r>
    </w:p>
    <w:p w14:paraId="70B59A27"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lastRenderedPageBreak/>
        <w:t>3.1 Substances</w:t>
      </w:r>
    </w:p>
    <w:p w14:paraId="01E7B7F1" w14:textId="77777777" w:rsidR="001F24C9" w:rsidRDefault="00000000">
      <w:pPr>
        <w:spacing w:before="120" w:after="120" w:line="240" w:lineRule="auto"/>
        <w:rPr>
          <w:rFonts w:cs="Calibri"/>
        </w:rPr>
      </w:pPr>
      <w:r>
        <w:rPr>
          <w:rFonts w:cs="Calibri"/>
        </w:rPr>
        <w:t>Non applicable</w:t>
      </w:r>
    </w:p>
    <w:p w14:paraId="31885013"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3.2 Mélanges</w:t>
      </w:r>
    </w:p>
    <w:tbl>
      <w:tblPr>
        <w:tblStyle w:val="SDSTableWithBordersWithHeaderRow"/>
        <w:tblW w:w="10489" w:type="dxa"/>
        <w:tblLayout w:type="fixed"/>
        <w:tblLook w:val="04A0" w:firstRow="1" w:lastRow="0" w:firstColumn="1" w:lastColumn="0" w:noHBand="0" w:noVBand="1"/>
      </w:tblPr>
      <w:tblGrid>
        <w:gridCol w:w="3969"/>
        <w:gridCol w:w="2267"/>
        <w:gridCol w:w="1134"/>
        <w:gridCol w:w="3119"/>
      </w:tblGrid>
      <w:tr w:rsidR="001F24C9" w14:paraId="7E3AA6A0" w14:textId="77777777" w:rsidTr="001F24C9">
        <w:trPr>
          <w:cnfStyle w:val="100000000000" w:firstRow="1" w:lastRow="0" w:firstColumn="0" w:lastColumn="0" w:oddVBand="0" w:evenVBand="0" w:oddHBand="0" w:evenHBand="0" w:firstRowFirstColumn="0" w:firstRowLastColumn="0" w:lastRowFirstColumn="0" w:lastRowLastColumn="0"/>
          <w:tblHeader/>
        </w:trPr>
        <w:tc>
          <w:tcPr>
            <w:tcW w:w="3969" w:type="dxa"/>
          </w:tcPr>
          <w:p w14:paraId="5574B33C" w14:textId="77777777" w:rsidR="001F24C9" w:rsidRDefault="00000000">
            <w:pPr>
              <w:pStyle w:val="SDSTableTextHeading1"/>
            </w:pPr>
            <w:r>
              <w:t>Nom</w:t>
            </w:r>
          </w:p>
        </w:tc>
        <w:tc>
          <w:tcPr>
            <w:tcW w:w="2267" w:type="dxa"/>
          </w:tcPr>
          <w:p w14:paraId="790CD677" w14:textId="77777777" w:rsidR="001F24C9" w:rsidRDefault="00000000">
            <w:pPr>
              <w:pStyle w:val="SDSTableTextHeading1"/>
            </w:pPr>
            <w:proofErr w:type="spellStart"/>
            <w:r>
              <w:t>Identificateur</w:t>
            </w:r>
            <w:proofErr w:type="spellEnd"/>
            <w:r>
              <w:t xml:space="preserve"> de </w:t>
            </w:r>
            <w:proofErr w:type="spellStart"/>
            <w:r>
              <w:t>produit</w:t>
            </w:r>
            <w:proofErr w:type="spellEnd"/>
          </w:p>
        </w:tc>
        <w:tc>
          <w:tcPr>
            <w:tcW w:w="1134" w:type="dxa"/>
          </w:tcPr>
          <w:p w14:paraId="7C8C92FB" w14:textId="77777777" w:rsidR="001F24C9" w:rsidRDefault="00000000">
            <w:pPr>
              <w:pStyle w:val="SDSTableTextHeading1"/>
              <w:rPr>
                <w:lang w:val="fr-BE"/>
              </w:rPr>
            </w:pPr>
            <w:r>
              <w:rPr>
                <w:lang w:val="fr-BE"/>
              </w:rPr>
              <w:t>%</w:t>
            </w:r>
          </w:p>
        </w:tc>
        <w:tc>
          <w:tcPr>
            <w:tcW w:w="3119" w:type="dxa"/>
          </w:tcPr>
          <w:p w14:paraId="37EF9BD9" w14:textId="77777777" w:rsidR="001F24C9" w:rsidRDefault="00000000">
            <w:pPr>
              <w:pStyle w:val="SDSTableTextHeading1"/>
              <w:rPr>
                <w:lang w:val="fr-FR"/>
              </w:rPr>
            </w:pPr>
            <w:r>
              <w:rPr>
                <w:lang w:val="fr-FR"/>
              </w:rPr>
              <w:t>Classification selon le règlement (CE) N° 1272/2008 [CLP]</w:t>
            </w:r>
          </w:p>
        </w:tc>
      </w:tr>
      <w:tr w:rsidR="001F24C9" w14:paraId="229701D2" w14:textId="77777777" w:rsidTr="001F24C9">
        <w:tc>
          <w:tcPr>
            <w:tcW w:w="3969" w:type="dxa"/>
          </w:tcPr>
          <w:p w14:paraId="2B173D50" w14:textId="77777777" w:rsidR="001F24C9" w:rsidRDefault="00000000">
            <w:pPr>
              <w:pStyle w:val="SDSTableTextNormal"/>
            </w:pPr>
            <w:r>
              <w:t>HELIOTROPINE</w:t>
            </w:r>
          </w:p>
        </w:tc>
        <w:tc>
          <w:tcPr>
            <w:tcW w:w="2267" w:type="dxa"/>
          </w:tcPr>
          <w:p w14:paraId="35980333" w14:textId="77777777" w:rsidR="001F24C9" w:rsidRDefault="00000000">
            <w:pPr>
              <w:pStyle w:val="SDSTableTextNormal"/>
              <w:rPr>
                <w:lang w:val="fr-FR"/>
              </w:rPr>
            </w:pPr>
            <w:r>
              <w:rPr>
                <w:lang w:val="fr-FR"/>
              </w:rPr>
              <w:t>N° CAS: 120-57-0</w:t>
            </w:r>
          </w:p>
          <w:p w14:paraId="23BF8CE7" w14:textId="77777777" w:rsidR="001F24C9" w:rsidRDefault="00000000">
            <w:pPr>
              <w:pStyle w:val="SDSTableTextNormal"/>
              <w:rPr>
                <w:lang w:val="fr-FR"/>
              </w:rPr>
            </w:pPr>
            <w:r>
              <w:rPr>
                <w:lang w:val="fr-FR"/>
              </w:rPr>
              <w:t>N° CE: 204-409-7</w:t>
            </w:r>
          </w:p>
          <w:p w14:paraId="068D3770" w14:textId="77777777" w:rsidR="001F24C9" w:rsidRDefault="00000000">
            <w:pPr>
              <w:pStyle w:val="SDSTableTextNormal"/>
              <w:rPr>
                <w:lang w:val="fr-FR"/>
              </w:rPr>
            </w:pPr>
            <w:r>
              <w:rPr>
                <w:lang w:val="fr-FR"/>
              </w:rPr>
              <w:t>N° REACH: 01-2119983608-21</w:t>
            </w:r>
          </w:p>
        </w:tc>
        <w:tc>
          <w:tcPr>
            <w:tcW w:w="1134" w:type="dxa"/>
          </w:tcPr>
          <w:p w14:paraId="72947C08" w14:textId="77777777" w:rsidR="001F24C9" w:rsidRDefault="00000000">
            <w:pPr>
              <w:pStyle w:val="SDSTableTextNormal"/>
            </w:pPr>
            <w:r>
              <w:t>0,7</w:t>
            </w:r>
          </w:p>
        </w:tc>
        <w:tc>
          <w:tcPr>
            <w:tcW w:w="3119" w:type="dxa"/>
          </w:tcPr>
          <w:p w14:paraId="45672F86" w14:textId="77777777" w:rsidR="001F24C9" w:rsidRDefault="00000000">
            <w:pPr>
              <w:pStyle w:val="SDSTableTextNormal"/>
            </w:pPr>
            <w:r>
              <w:t>Skin Sens. 1B, H317</w:t>
            </w:r>
          </w:p>
        </w:tc>
      </w:tr>
      <w:tr w:rsidR="001F24C9" w:rsidRPr="00826CA8" w14:paraId="058A0C03" w14:textId="77777777" w:rsidTr="001F24C9">
        <w:tc>
          <w:tcPr>
            <w:tcW w:w="3969" w:type="dxa"/>
          </w:tcPr>
          <w:p w14:paraId="162D9C79" w14:textId="77777777" w:rsidR="001F24C9" w:rsidRDefault="00000000">
            <w:pPr>
              <w:pStyle w:val="SDSTableTextNormal"/>
            </w:pPr>
            <w:r>
              <w:t>ALDEHYDE C16</w:t>
            </w:r>
          </w:p>
        </w:tc>
        <w:tc>
          <w:tcPr>
            <w:tcW w:w="2267" w:type="dxa"/>
          </w:tcPr>
          <w:p w14:paraId="6ED896DC" w14:textId="77777777" w:rsidR="001F24C9" w:rsidRDefault="00000000">
            <w:pPr>
              <w:pStyle w:val="SDSTableTextNormal"/>
              <w:rPr>
                <w:lang w:val="fr-FR"/>
              </w:rPr>
            </w:pPr>
            <w:r>
              <w:rPr>
                <w:lang w:val="fr-FR"/>
              </w:rPr>
              <w:t>N° CAS: 77-83-8</w:t>
            </w:r>
          </w:p>
          <w:p w14:paraId="06206C03" w14:textId="77777777" w:rsidR="001F24C9" w:rsidRDefault="00000000">
            <w:pPr>
              <w:pStyle w:val="SDSTableTextNormal"/>
              <w:rPr>
                <w:lang w:val="fr-FR"/>
              </w:rPr>
            </w:pPr>
            <w:r>
              <w:rPr>
                <w:lang w:val="fr-FR"/>
              </w:rPr>
              <w:t>N° CE: 201-061-8</w:t>
            </w:r>
          </w:p>
          <w:p w14:paraId="24DC6CC2" w14:textId="77777777" w:rsidR="001F24C9" w:rsidRDefault="00000000">
            <w:pPr>
              <w:pStyle w:val="SDSTableTextNormal"/>
              <w:rPr>
                <w:lang w:val="fr-FR"/>
              </w:rPr>
            </w:pPr>
            <w:r>
              <w:rPr>
                <w:lang w:val="fr-FR"/>
              </w:rPr>
              <w:t>N° REACH: 05-2114135369-45-0000</w:t>
            </w:r>
          </w:p>
        </w:tc>
        <w:tc>
          <w:tcPr>
            <w:tcW w:w="1134" w:type="dxa"/>
          </w:tcPr>
          <w:p w14:paraId="374514C3" w14:textId="77777777" w:rsidR="001F24C9" w:rsidRDefault="00000000">
            <w:pPr>
              <w:pStyle w:val="SDSTableTextNormal"/>
            </w:pPr>
            <w:r>
              <w:t>0,36</w:t>
            </w:r>
          </w:p>
        </w:tc>
        <w:tc>
          <w:tcPr>
            <w:tcW w:w="3119" w:type="dxa"/>
          </w:tcPr>
          <w:p w14:paraId="703A3ED9" w14:textId="77777777" w:rsidR="001F24C9" w:rsidRDefault="00000000">
            <w:pPr>
              <w:pStyle w:val="SDSTableTextNormal"/>
            </w:pPr>
            <w:r>
              <w:t>Aquatic Chronic 2, H411</w:t>
            </w:r>
            <w:r>
              <w:br/>
              <w:t>Skin Sens. 1B, H317</w:t>
            </w:r>
          </w:p>
        </w:tc>
      </w:tr>
      <w:tr w:rsidR="001F24C9" w14:paraId="2CF6A425" w14:textId="77777777" w:rsidTr="001F24C9">
        <w:tc>
          <w:tcPr>
            <w:tcW w:w="3969" w:type="dxa"/>
          </w:tcPr>
          <w:p w14:paraId="1BFB8843" w14:textId="77777777" w:rsidR="001F24C9" w:rsidRDefault="00000000">
            <w:pPr>
              <w:pStyle w:val="SDSTableTextNormal"/>
            </w:pPr>
            <w:r>
              <w:t>ACETATE ANISYLE</w:t>
            </w:r>
          </w:p>
        </w:tc>
        <w:tc>
          <w:tcPr>
            <w:tcW w:w="2267" w:type="dxa"/>
          </w:tcPr>
          <w:p w14:paraId="1BA73C85" w14:textId="77777777" w:rsidR="001F24C9" w:rsidRDefault="00000000">
            <w:pPr>
              <w:pStyle w:val="SDSTableTextNormal"/>
              <w:rPr>
                <w:lang w:val="fr-FR"/>
              </w:rPr>
            </w:pPr>
            <w:r>
              <w:rPr>
                <w:lang w:val="fr-FR"/>
              </w:rPr>
              <w:t>N° CAS: 104-21-2</w:t>
            </w:r>
          </w:p>
          <w:p w14:paraId="79C98D69" w14:textId="77777777" w:rsidR="001F24C9" w:rsidRDefault="00000000">
            <w:pPr>
              <w:pStyle w:val="SDSTableTextNormal"/>
              <w:rPr>
                <w:lang w:val="fr-FR"/>
              </w:rPr>
            </w:pPr>
            <w:r>
              <w:rPr>
                <w:lang w:val="fr-FR"/>
              </w:rPr>
              <w:t>N° CE: 203-185-8</w:t>
            </w:r>
          </w:p>
          <w:p w14:paraId="4442DFD8" w14:textId="77777777" w:rsidR="001F24C9" w:rsidRDefault="00000000">
            <w:pPr>
              <w:pStyle w:val="SDSTableTextNormal"/>
              <w:rPr>
                <w:lang w:val="fr-FR"/>
              </w:rPr>
            </w:pPr>
            <w:r>
              <w:rPr>
                <w:lang w:val="fr-FR"/>
              </w:rPr>
              <w:t>N° REACH: 01-2120104878-50/--</w:t>
            </w:r>
          </w:p>
        </w:tc>
        <w:tc>
          <w:tcPr>
            <w:tcW w:w="1134" w:type="dxa"/>
          </w:tcPr>
          <w:p w14:paraId="54922E1F" w14:textId="77777777" w:rsidR="001F24C9" w:rsidRDefault="00000000">
            <w:pPr>
              <w:pStyle w:val="SDSTableTextNormal"/>
            </w:pPr>
            <w:r>
              <w:t>0,12</w:t>
            </w:r>
          </w:p>
        </w:tc>
        <w:tc>
          <w:tcPr>
            <w:tcW w:w="3119" w:type="dxa"/>
          </w:tcPr>
          <w:p w14:paraId="07002E23" w14:textId="77777777" w:rsidR="001F24C9" w:rsidRDefault="00000000">
            <w:pPr>
              <w:pStyle w:val="SDSTableTextNormal"/>
            </w:pPr>
            <w:r>
              <w:t>Skin Sens. 1B, H317</w:t>
            </w:r>
          </w:p>
        </w:tc>
      </w:tr>
      <w:tr w:rsidR="001F24C9" w14:paraId="4C329079" w14:textId="77777777" w:rsidTr="001F24C9">
        <w:tc>
          <w:tcPr>
            <w:tcW w:w="3969" w:type="dxa"/>
          </w:tcPr>
          <w:p w14:paraId="0D03F876" w14:textId="4B42E64E" w:rsidR="001F24C9" w:rsidRDefault="00826CA8">
            <w:pPr>
              <w:pStyle w:val="SDSTableTextNormal"/>
            </w:pPr>
            <w:r w:rsidRPr="00826CA8">
              <w:rPr>
                <w:lang w:val="fr-FR"/>
              </w:rPr>
              <w:t>DAMASCENONE</w:t>
            </w:r>
          </w:p>
        </w:tc>
        <w:tc>
          <w:tcPr>
            <w:tcW w:w="2267" w:type="dxa"/>
          </w:tcPr>
          <w:p w14:paraId="6C5F7240" w14:textId="77777777" w:rsidR="001F24C9" w:rsidRDefault="00000000">
            <w:pPr>
              <w:pStyle w:val="SDSTableTextNormal"/>
            </w:pPr>
            <w:r>
              <w:t>N° CAS: 23696-85-7</w:t>
            </w:r>
          </w:p>
          <w:p w14:paraId="24AEE19C" w14:textId="77777777" w:rsidR="001F24C9" w:rsidRDefault="00000000">
            <w:pPr>
              <w:pStyle w:val="SDSTableTextNormal"/>
            </w:pPr>
            <w:r>
              <w:t>N° CE: 245-833-2</w:t>
            </w:r>
          </w:p>
        </w:tc>
        <w:tc>
          <w:tcPr>
            <w:tcW w:w="1134" w:type="dxa"/>
          </w:tcPr>
          <w:p w14:paraId="6411E7ED" w14:textId="77777777" w:rsidR="001F24C9" w:rsidRDefault="00000000">
            <w:pPr>
              <w:pStyle w:val="SDSTableTextNormal"/>
            </w:pPr>
            <w:r>
              <w:t>0,01</w:t>
            </w:r>
          </w:p>
        </w:tc>
        <w:tc>
          <w:tcPr>
            <w:tcW w:w="3119" w:type="dxa"/>
          </w:tcPr>
          <w:p w14:paraId="1DFB492A" w14:textId="77777777" w:rsidR="001F24C9" w:rsidRDefault="00000000">
            <w:pPr>
              <w:pStyle w:val="SDSTableTextNormal"/>
              <w:rPr>
                <w:lang w:val="fr-FR"/>
              </w:rPr>
            </w:pPr>
            <w:r>
              <w:t>Aquatic Chronic 2, H411</w:t>
            </w:r>
            <w:r>
              <w:br/>
              <w:t xml:space="preserve">Skin </w:t>
            </w:r>
            <w:proofErr w:type="spellStart"/>
            <w:r>
              <w:t>Irrit</w:t>
            </w:r>
            <w:proofErr w:type="spellEnd"/>
            <w:r>
              <w:t xml:space="preserve">. </w:t>
            </w:r>
            <w:r>
              <w:rPr>
                <w:lang w:val="fr-FR"/>
              </w:rPr>
              <w:t>2, H315</w:t>
            </w:r>
            <w:r>
              <w:rPr>
                <w:lang w:val="fr-FR"/>
              </w:rPr>
              <w:br/>
              <w:t>Skin Sens. 1A, H317</w:t>
            </w:r>
          </w:p>
        </w:tc>
      </w:tr>
    </w:tbl>
    <w:p w14:paraId="4ADD3EFC" w14:textId="77777777" w:rsidR="001F24C9" w:rsidRDefault="001F24C9">
      <w:pPr>
        <w:spacing w:before="120" w:after="120" w:line="240" w:lineRule="auto"/>
        <w:rPr>
          <w:rFonts w:cs="Calibri"/>
          <w:sz w:val="20"/>
          <w:szCs w:val="20"/>
        </w:rPr>
      </w:pPr>
    </w:p>
    <w:p w14:paraId="24C618E6" w14:textId="77777777" w:rsidR="001F24C9" w:rsidRDefault="001F24C9">
      <w:pPr>
        <w:spacing w:before="120" w:after="120" w:line="240" w:lineRule="auto"/>
        <w:rPr>
          <w:rFonts w:cs="Calibri"/>
          <w:sz w:val="20"/>
          <w:szCs w:val="20"/>
        </w:rPr>
      </w:pPr>
    </w:p>
    <w:p w14:paraId="5EB5F0BE" w14:textId="77777777" w:rsidR="001F24C9" w:rsidRDefault="00000000">
      <w:pPr>
        <w:shd w:val="clear" w:color="auto" w:fill="8EAADB" w:themeFill="accent1" w:themeFillTint="99"/>
        <w:spacing w:before="120" w:after="120" w:line="240" w:lineRule="auto"/>
        <w:rPr>
          <w:rFonts w:cs="Calibri"/>
          <w:sz w:val="28"/>
          <w:szCs w:val="28"/>
        </w:rPr>
      </w:pPr>
      <w:r>
        <w:rPr>
          <w:rFonts w:cs="Calibri"/>
          <w:sz w:val="28"/>
          <w:szCs w:val="28"/>
        </w:rPr>
        <w:t>RUBRIQUE 4 : Premiers secours</w:t>
      </w:r>
    </w:p>
    <w:p w14:paraId="04E183EA"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4.1. Description des premiers secours</w:t>
      </w:r>
    </w:p>
    <w:p w14:paraId="5A8E6825" w14:textId="77777777" w:rsidR="001F24C9" w:rsidRDefault="00000000">
      <w:pPr>
        <w:pStyle w:val="Corpsdetexte"/>
        <w:spacing w:before="13"/>
        <w:ind w:left="160"/>
        <w:rPr>
          <w:rFonts w:ascii="Calibri" w:eastAsia="Calibri" w:hAnsi="Calibri" w:cs="Times New Roman"/>
          <w:sz w:val="22"/>
          <w:szCs w:val="22"/>
        </w:rPr>
      </w:pPr>
      <w:r>
        <w:rPr>
          <w:rFonts w:ascii="Calibri" w:eastAsia="Calibri" w:hAnsi="Calibri" w:cs="Times New Roman"/>
          <w:sz w:val="22"/>
          <w:szCs w:val="22"/>
        </w:rPr>
        <w:t>Note générale : Dans tous les cas d'intoxication potentielle, un suivi médical est fortement recommandé.</w:t>
      </w:r>
    </w:p>
    <w:p w14:paraId="243E3FDD" w14:textId="77777777" w:rsidR="001F24C9" w:rsidRDefault="001F24C9">
      <w:pPr>
        <w:pStyle w:val="Corpsdetexte"/>
        <w:spacing w:before="2"/>
        <w:rPr>
          <w:rFonts w:ascii="Calibri" w:eastAsia="Calibri" w:hAnsi="Calibri" w:cs="Times New Roman"/>
          <w:sz w:val="22"/>
          <w:szCs w:val="22"/>
        </w:rPr>
      </w:pPr>
    </w:p>
    <w:p w14:paraId="0324D4C2" w14:textId="77777777" w:rsidR="001F24C9" w:rsidRDefault="00000000">
      <w:pPr>
        <w:pStyle w:val="Corpsdetexte"/>
        <w:spacing w:before="1"/>
        <w:ind w:left="160"/>
        <w:rPr>
          <w:rFonts w:ascii="Calibri" w:eastAsia="Calibri" w:hAnsi="Calibri" w:cs="Times New Roman"/>
          <w:sz w:val="22"/>
          <w:szCs w:val="22"/>
        </w:rPr>
      </w:pPr>
      <w:r>
        <w:rPr>
          <w:rFonts w:ascii="Calibri" w:eastAsia="Calibri" w:hAnsi="Calibri" w:cs="Times New Roman"/>
          <w:sz w:val="22"/>
          <w:szCs w:val="22"/>
        </w:rPr>
        <w:t>Contact avec la peau : Retirer les vêtements souillés et ne les réutiliser qu'après décontamination.</w:t>
      </w:r>
    </w:p>
    <w:p w14:paraId="3702D74A" w14:textId="77777777" w:rsidR="001F24C9" w:rsidRDefault="00000000">
      <w:pPr>
        <w:pStyle w:val="Corpsdetexte"/>
        <w:spacing w:before="13" w:line="254" w:lineRule="auto"/>
        <w:ind w:left="160" w:right="3217"/>
        <w:rPr>
          <w:rFonts w:ascii="Calibri" w:eastAsia="Calibri" w:hAnsi="Calibri" w:cs="Times New Roman"/>
          <w:sz w:val="22"/>
          <w:szCs w:val="22"/>
        </w:rPr>
      </w:pPr>
      <w:r>
        <w:rPr>
          <w:rFonts w:ascii="Calibri" w:eastAsia="Calibri" w:hAnsi="Calibri" w:cs="Times New Roman"/>
          <w:sz w:val="22"/>
          <w:szCs w:val="22"/>
        </w:rPr>
        <w:t>Laver immédiatement et abondamment avec de l'eau et du savon. Rincer ensuite à l'eau claire. En cas d'irritations cutanées persistantes, consulter un médecin.</w:t>
      </w:r>
    </w:p>
    <w:p w14:paraId="030A104D" w14:textId="77777777" w:rsidR="001F24C9" w:rsidRDefault="001F24C9">
      <w:pPr>
        <w:pStyle w:val="Corpsdetexte"/>
        <w:spacing w:before="2"/>
        <w:rPr>
          <w:rFonts w:ascii="Calibri" w:eastAsia="Calibri" w:hAnsi="Calibri" w:cs="Times New Roman"/>
          <w:sz w:val="22"/>
          <w:szCs w:val="22"/>
        </w:rPr>
      </w:pPr>
    </w:p>
    <w:p w14:paraId="341FF8FE" w14:textId="77777777" w:rsidR="001F24C9" w:rsidRDefault="00000000">
      <w:pPr>
        <w:pStyle w:val="Corpsdetexte"/>
        <w:spacing w:line="254" w:lineRule="auto"/>
        <w:ind w:left="160" w:right="1225"/>
        <w:rPr>
          <w:rFonts w:ascii="Calibri" w:eastAsia="Calibri" w:hAnsi="Calibri" w:cs="Times New Roman"/>
          <w:sz w:val="22"/>
          <w:szCs w:val="22"/>
        </w:rPr>
      </w:pPr>
      <w:r>
        <w:rPr>
          <w:rFonts w:ascii="Calibri" w:eastAsia="Calibri" w:hAnsi="Calibri" w:cs="Times New Roman"/>
          <w:sz w:val="22"/>
          <w:szCs w:val="22"/>
        </w:rPr>
        <w:t xml:space="preserve">Contact avec les yeux : Rinçage abondant à l'eau pendant 15 minutes les paupières ouvertes puis lavage avec une lotion oculaire type </w:t>
      </w:r>
      <w:proofErr w:type="spellStart"/>
      <w:r>
        <w:rPr>
          <w:rFonts w:ascii="Calibri" w:eastAsia="Calibri" w:hAnsi="Calibri" w:cs="Times New Roman"/>
          <w:sz w:val="22"/>
          <w:szCs w:val="22"/>
        </w:rPr>
        <w:t>Dacryosérum</w:t>
      </w:r>
      <w:proofErr w:type="spellEnd"/>
      <w:r>
        <w:rPr>
          <w:rFonts w:ascii="Calibri" w:eastAsia="Calibri" w:hAnsi="Calibri" w:cs="Times New Roman"/>
          <w:sz w:val="22"/>
          <w:szCs w:val="22"/>
        </w:rPr>
        <w:t>. Consulter un ophtalmologue en cas de trouble de la vision.</w:t>
      </w:r>
    </w:p>
    <w:p w14:paraId="49A009C2" w14:textId="77777777" w:rsidR="001F24C9" w:rsidRDefault="001F24C9">
      <w:pPr>
        <w:pStyle w:val="Corpsdetexte"/>
        <w:spacing w:before="3"/>
        <w:rPr>
          <w:rFonts w:ascii="Calibri" w:eastAsia="Calibri" w:hAnsi="Calibri" w:cs="Times New Roman"/>
          <w:sz w:val="22"/>
          <w:szCs w:val="22"/>
        </w:rPr>
      </w:pPr>
    </w:p>
    <w:p w14:paraId="1BA32E05" w14:textId="77777777" w:rsidR="001F24C9" w:rsidRDefault="00000000">
      <w:pPr>
        <w:pStyle w:val="Corpsdetexte"/>
        <w:ind w:left="160"/>
        <w:rPr>
          <w:rFonts w:ascii="Calibri" w:eastAsia="Calibri" w:hAnsi="Calibri" w:cs="Times New Roman"/>
          <w:sz w:val="22"/>
          <w:szCs w:val="22"/>
        </w:rPr>
      </w:pPr>
      <w:r>
        <w:rPr>
          <w:rFonts w:ascii="Calibri" w:eastAsia="Calibri" w:hAnsi="Calibri" w:cs="Times New Roman"/>
          <w:sz w:val="22"/>
          <w:szCs w:val="22"/>
        </w:rPr>
        <w:t>En cas d'ingestion : Se rincer la bouche avec l'eau. Ne pas provoquer de vomissements. Consulter un médecin.</w:t>
      </w:r>
    </w:p>
    <w:p w14:paraId="5E2947C9" w14:textId="77777777" w:rsidR="001F24C9" w:rsidRDefault="001F24C9">
      <w:pPr>
        <w:pStyle w:val="Corpsdetexte"/>
        <w:spacing w:before="3"/>
        <w:rPr>
          <w:rFonts w:ascii="Calibri" w:eastAsia="Calibri" w:hAnsi="Calibri" w:cs="Times New Roman"/>
          <w:sz w:val="22"/>
          <w:szCs w:val="22"/>
        </w:rPr>
      </w:pPr>
    </w:p>
    <w:p w14:paraId="70B3DF48" w14:textId="77777777" w:rsidR="001F24C9" w:rsidRDefault="00000000">
      <w:pPr>
        <w:pStyle w:val="Corpsdetexte"/>
        <w:ind w:left="160"/>
        <w:rPr>
          <w:rFonts w:ascii="Calibri" w:eastAsia="Calibri" w:hAnsi="Calibri" w:cs="Times New Roman"/>
          <w:sz w:val="22"/>
          <w:szCs w:val="22"/>
        </w:rPr>
      </w:pPr>
      <w:r>
        <w:rPr>
          <w:rFonts w:ascii="Calibri" w:eastAsia="Calibri" w:hAnsi="Calibri" w:cs="Times New Roman"/>
          <w:sz w:val="22"/>
          <w:szCs w:val="22"/>
        </w:rPr>
        <w:t>En cas d'inhalation : Retirer la personne affectée de la zone d'exposition et la placer à l'air frais. Demander des soins médicaux si les symptômes s'aggravent.</w:t>
      </w:r>
    </w:p>
    <w:p w14:paraId="3F89B143" w14:textId="77777777" w:rsidR="001F24C9" w:rsidRDefault="001F24C9">
      <w:pPr>
        <w:pBdr>
          <w:bottom w:val="single" w:sz="4" w:space="1" w:color="000000"/>
        </w:pBdr>
        <w:spacing w:before="120" w:after="120" w:line="240" w:lineRule="auto"/>
        <w:rPr>
          <w:rFonts w:cs="Calibri"/>
          <w:b/>
          <w:bCs/>
          <w:sz w:val="24"/>
          <w:szCs w:val="24"/>
        </w:rPr>
      </w:pPr>
    </w:p>
    <w:p w14:paraId="20622498"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4.2. Principaux symptômes et effets, aigus et différés</w:t>
      </w:r>
    </w:p>
    <w:tbl>
      <w:tblPr>
        <w:tblStyle w:val="SDSTableWithoutBorders"/>
        <w:tblW w:w="10491" w:type="dxa"/>
        <w:tblLayout w:type="fixed"/>
        <w:tblLook w:val="04A0" w:firstRow="1" w:lastRow="0" w:firstColumn="1" w:lastColumn="0" w:noHBand="0" w:noVBand="1"/>
      </w:tblPr>
      <w:tblGrid>
        <w:gridCol w:w="3685"/>
        <w:gridCol w:w="284"/>
        <w:gridCol w:w="6522"/>
      </w:tblGrid>
      <w:tr w:rsidR="001F24C9" w14:paraId="457D8135" w14:textId="77777777">
        <w:tc>
          <w:tcPr>
            <w:tcW w:w="3685" w:type="dxa"/>
          </w:tcPr>
          <w:p w14:paraId="7022991B"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Symptômes/effets</w:t>
            </w:r>
          </w:p>
        </w:tc>
        <w:tc>
          <w:tcPr>
            <w:tcW w:w="284" w:type="dxa"/>
          </w:tcPr>
          <w:p w14:paraId="7A58A25B" w14:textId="77777777" w:rsidR="001F24C9"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35597F82"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Non considéré comme dangereux dans des conditions normales d’utilisation.</w:t>
            </w:r>
          </w:p>
        </w:tc>
      </w:tr>
    </w:tbl>
    <w:p w14:paraId="7AD2A611" w14:textId="77777777" w:rsidR="001F24C9" w:rsidRDefault="001F24C9">
      <w:pPr>
        <w:spacing w:before="120" w:after="120" w:line="240" w:lineRule="auto"/>
      </w:pPr>
    </w:p>
    <w:p w14:paraId="7E39D5E1"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4.3. Indication des éventuels soins médicaux immédiats et traitements particuliers nécessaires</w:t>
      </w:r>
    </w:p>
    <w:p w14:paraId="0BCF14C0" w14:textId="77777777" w:rsidR="001F24C9" w:rsidRDefault="00000000">
      <w:pPr>
        <w:spacing w:before="120" w:after="120" w:line="240" w:lineRule="auto"/>
      </w:pPr>
      <w:r>
        <w:t>Traitement symptomatique.</w:t>
      </w:r>
    </w:p>
    <w:p w14:paraId="225BAE8B" w14:textId="77777777" w:rsidR="001F24C9" w:rsidRDefault="001F24C9">
      <w:pPr>
        <w:spacing w:before="120" w:after="120" w:line="240" w:lineRule="auto"/>
        <w:rPr>
          <w:rFonts w:cs="Calibri"/>
          <w:sz w:val="20"/>
          <w:szCs w:val="20"/>
        </w:rPr>
      </w:pPr>
    </w:p>
    <w:p w14:paraId="3243C517" w14:textId="77777777" w:rsidR="001F24C9" w:rsidRDefault="00000000">
      <w:pPr>
        <w:shd w:val="clear" w:color="auto" w:fill="8EAADB" w:themeFill="accent1" w:themeFillTint="99"/>
        <w:spacing w:before="120" w:after="120" w:line="240" w:lineRule="auto"/>
        <w:rPr>
          <w:rFonts w:cs="Calibri"/>
          <w:sz w:val="28"/>
          <w:szCs w:val="28"/>
        </w:rPr>
      </w:pPr>
      <w:r>
        <w:rPr>
          <w:rFonts w:cs="Calibri"/>
          <w:sz w:val="28"/>
          <w:szCs w:val="28"/>
        </w:rPr>
        <w:t>RUBRIQUE 5 : Mesures de lutte contre l’incendie</w:t>
      </w:r>
    </w:p>
    <w:p w14:paraId="6CECDED7"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5.1. Moyens d’extinction</w:t>
      </w:r>
    </w:p>
    <w:p w14:paraId="562DD5FD" w14:textId="77777777" w:rsidR="001F24C9" w:rsidRDefault="00000000">
      <w:pPr>
        <w:spacing w:before="120" w:after="120" w:line="240" w:lineRule="auto"/>
        <w:rPr>
          <w:rFonts w:cs="Calibri"/>
          <w:sz w:val="20"/>
          <w:szCs w:val="20"/>
        </w:rPr>
      </w:pPr>
      <w:r>
        <w:t>Moyens d’extinction appropriés : Eau pulvérisée. Poudre sèche. Mousse. Dioxyde de carbone.</w:t>
      </w:r>
    </w:p>
    <w:p w14:paraId="37773CBA"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5.2. Dangers particuliers résultant de la substance ou du mélange</w:t>
      </w:r>
    </w:p>
    <w:p w14:paraId="74618209" w14:textId="77777777" w:rsidR="001F24C9" w:rsidRDefault="00000000">
      <w:pPr>
        <w:spacing w:before="120" w:after="120" w:line="240" w:lineRule="auto"/>
        <w:rPr>
          <w:rFonts w:cs="Calibri"/>
          <w:sz w:val="20"/>
          <w:szCs w:val="20"/>
        </w:rPr>
      </w:pPr>
      <w:r>
        <w:t>Produits de décomposition dangereux en cas d’incendie : Dégagement possible de fumées toxiques.</w:t>
      </w:r>
    </w:p>
    <w:p w14:paraId="5BC684A2"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5.3. Conseils aux pompiers</w:t>
      </w:r>
    </w:p>
    <w:p w14:paraId="69DB344F" w14:textId="77777777" w:rsidR="001F24C9" w:rsidRDefault="00000000">
      <w:pPr>
        <w:spacing w:before="120" w:after="120" w:line="240" w:lineRule="auto"/>
        <w:rPr>
          <w:rFonts w:cs="Calibri"/>
          <w:sz w:val="20"/>
          <w:szCs w:val="20"/>
        </w:rPr>
      </w:pPr>
      <w:r>
        <w:t>Protection en cas d’incendie : Ne pas intervenir sans un équipement de protection adapté. Appareil de protection respiratoire autonome isolant. Protection complète du corps.</w:t>
      </w:r>
    </w:p>
    <w:p w14:paraId="1972A566" w14:textId="77777777" w:rsidR="001F24C9" w:rsidRDefault="00000000">
      <w:pPr>
        <w:shd w:val="clear" w:color="auto" w:fill="8EAADB" w:themeFill="accent1" w:themeFillTint="99"/>
        <w:spacing w:before="120" w:after="120" w:line="240" w:lineRule="auto"/>
        <w:rPr>
          <w:rFonts w:cs="Calibri"/>
          <w:sz w:val="28"/>
          <w:szCs w:val="28"/>
        </w:rPr>
      </w:pPr>
      <w:r>
        <w:rPr>
          <w:rFonts w:cs="Calibri"/>
          <w:sz w:val="28"/>
          <w:szCs w:val="28"/>
        </w:rPr>
        <w:t>RUBRIQUE 6 : Mesures à prendre en cas de déversement accidentel</w:t>
      </w:r>
    </w:p>
    <w:p w14:paraId="5E4006B4"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6.1. Précautions individuelles, équipement de protection et procédures d’urgence</w:t>
      </w:r>
    </w:p>
    <w:p w14:paraId="594E20A0" w14:textId="77777777" w:rsidR="001F24C9" w:rsidRDefault="00000000">
      <w:pPr>
        <w:spacing w:before="120" w:after="120" w:line="240" w:lineRule="auto"/>
        <w:rPr>
          <w:rFonts w:cs="Calibri"/>
        </w:rPr>
      </w:pPr>
      <w:r>
        <w:rPr>
          <w:rFonts w:cs="Calibri"/>
        </w:rPr>
        <w:t>Récupérer le maximum de produit et le stocker dans des récipients hermétiques.</w:t>
      </w:r>
    </w:p>
    <w:p w14:paraId="25466FEB" w14:textId="77777777" w:rsidR="001F24C9" w:rsidRDefault="00000000">
      <w:pPr>
        <w:spacing w:before="120" w:after="120" w:line="240" w:lineRule="auto"/>
        <w:rPr>
          <w:rFonts w:cs="Calibri"/>
        </w:rPr>
      </w:pPr>
      <w:r>
        <w:rPr>
          <w:rFonts w:cs="Calibri"/>
        </w:rPr>
        <w:t>Assurer une aération suffisante.</w:t>
      </w:r>
    </w:p>
    <w:p w14:paraId="1A406363"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6.2. Précautions pour la protection de l’environnement</w:t>
      </w:r>
    </w:p>
    <w:p w14:paraId="33319EB6" w14:textId="77777777" w:rsidR="001F24C9" w:rsidRDefault="00000000">
      <w:pPr>
        <w:spacing w:before="120" w:after="120" w:line="240" w:lineRule="auto"/>
        <w:rPr>
          <w:rFonts w:cs="Calibri"/>
        </w:rPr>
      </w:pPr>
      <w:r>
        <w:rPr>
          <w:rFonts w:cs="Calibri"/>
        </w:rPr>
        <w:t>Eviter le rejet à l’égout, ne pas laisser s’écouler les résidus de cire dans les eaux courantes.</w:t>
      </w:r>
    </w:p>
    <w:p w14:paraId="11A28C7A"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6.3. Méthodes et matériel de confinement et de nettoyage</w:t>
      </w:r>
    </w:p>
    <w:p w14:paraId="23F3EE6D" w14:textId="77777777" w:rsidR="001F24C9" w:rsidRDefault="00000000">
      <w:pPr>
        <w:spacing w:before="120" w:after="120" w:line="240" w:lineRule="auto"/>
        <w:rPr>
          <w:rFonts w:cs="Calibri"/>
        </w:rPr>
      </w:pPr>
      <w:r>
        <w:rPr>
          <w:rFonts w:cs="Calibri"/>
        </w:rPr>
        <w:t>Récupérer le maximum de produit et le stocker dans des récipients hermétiques.</w:t>
      </w:r>
    </w:p>
    <w:p w14:paraId="600E97B9"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6.4. Référence à d'autres rubriques</w:t>
      </w:r>
    </w:p>
    <w:p w14:paraId="2ADF8307" w14:textId="77777777" w:rsidR="001F24C9" w:rsidRDefault="00000000">
      <w:pPr>
        <w:spacing w:before="120" w:after="120" w:line="240" w:lineRule="auto"/>
        <w:rPr>
          <w:rFonts w:cs="Calibri"/>
        </w:rPr>
      </w:pPr>
      <w:r>
        <w:rPr>
          <w:rFonts w:cs="Calibri"/>
        </w:rPr>
        <w:t>Voir rubrique 13</w:t>
      </w:r>
    </w:p>
    <w:p w14:paraId="5BB26FD2" w14:textId="77777777" w:rsidR="001F24C9" w:rsidRDefault="00000000">
      <w:pPr>
        <w:shd w:val="clear" w:color="auto" w:fill="8EAADB" w:themeFill="accent1" w:themeFillTint="99"/>
        <w:spacing w:before="120" w:after="120" w:line="240" w:lineRule="auto"/>
        <w:rPr>
          <w:rFonts w:cs="Calibri"/>
          <w:sz w:val="28"/>
          <w:szCs w:val="28"/>
        </w:rPr>
      </w:pPr>
      <w:r>
        <w:rPr>
          <w:rFonts w:cs="Calibri"/>
          <w:sz w:val="28"/>
          <w:szCs w:val="28"/>
        </w:rPr>
        <w:t>RUBRIQUE 7 : Manipulation et stockage</w:t>
      </w:r>
    </w:p>
    <w:p w14:paraId="6778A1AE"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7.1. Précautions à prendre pour une manipulation sans danger</w:t>
      </w:r>
    </w:p>
    <w:p w14:paraId="19DF7A9D" w14:textId="77777777" w:rsidR="001F24C9" w:rsidRDefault="00000000">
      <w:pPr>
        <w:spacing w:before="120" w:after="120" w:line="240" w:lineRule="auto"/>
        <w:rPr>
          <w:rFonts w:cs="Calibri"/>
        </w:rPr>
      </w:pPr>
      <w:r>
        <w:rPr>
          <w:rFonts w:cs="Calibri"/>
        </w:rPr>
        <w:t>Maintenir les lieux propres et ordonnés. Se laver les mains après utilisation, ne pas manger boire et fumer durant l’utilisation.</w:t>
      </w:r>
    </w:p>
    <w:p w14:paraId="2D6F89D1"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7.2. Conditions nécessaires pour assurer la sécurité du stockage, tenant compte d’éventuelles incompatibilités</w:t>
      </w:r>
    </w:p>
    <w:p w14:paraId="2B06D3EB" w14:textId="77777777" w:rsidR="001F24C9" w:rsidRDefault="00000000">
      <w:pPr>
        <w:spacing w:before="120" w:after="120" w:line="240" w:lineRule="auto"/>
        <w:rPr>
          <w:rFonts w:cs="Calibri"/>
        </w:rPr>
      </w:pPr>
      <w:r>
        <w:rPr>
          <w:rFonts w:cs="Calibri"/>
        </w:rPr>
        <w:t>Température de stockage minimale conseillée : 5°C</w:t>
      </w:r>
    </w:p>
    <w:p w14:paraId="3FFCB2AA" w14:textId="77777777" w:rsidR="001F24C9" w:rsidRDefault="00000000">
      <w:pPr>
        <w:spacing w:before="120" w:after="120" w:line="240" w:lineRule="auto"/>
        <w:rPr>
          <w:rFonts w:cs="Calibri"/>
        </w:rPr>
      </w:pPr>
      <w:r>
        <w:rPr>
          <w:rFonts w:cs="Calibri"/>
        </w:rPr>
        <w:t>Température de stockage maximale conseillée : 35°C</w:t>
      </w:r>
    </w:p>
    <w:p w14:paraId="5C5F0ADC" w14:textId="77777777" w:rsidR="001F24C9" w:rsidRDefault="00000000">
      <w:pPr>
        <w:spacing w:before="120" w:after="120" w:line="240" w:lineRule="auto"/>
        <w:rPr>
          <w:rFonts w:cs="Calibri"/>
        </w:rPr>
      </w:pPr>
      <w:r>
        <w:rPr>
          <w:rFonts w:cs="Calibri"/>
        </w:rPr>
        <w:t>Condition de stockage : Conserver uniquement dans le récipient d’origine dans un endroit frais et bien ventilé. Garder les conteneurs fermés en dehors de leur utilisation.</w:t>
      </w:r>
    </w:p>
    <w:p w14:paraId="4530715D" w14:textId="77777777" w:rsidR="001F24C9" w:rsidRDefault="00000000">
      <w:pPr>
        <w:spacing w:before="120" w:after="120" w:line="240" w:lineRule="auto"/>
        <w:rPr>
          <w:rFonts w:cs="Calibri"/>
        </w:rPr>
      </w:pPr>
      <w:r>
        <w:rPr>
          <w:rFonts w:cs="Calibri"/>
        </w:rPr>
        <w:t>Produits incompatibles : Bases fortes et acides forts</w:t>
      </w:r>
    </w:p>
    <w:p w14:paraId="6E79D5A6" w14:textId="77777777" w:rsidR="001F24C9" w:rsidRDefault="00000000">
      <w:pPr>
        <w:spacing w:before="120" w:after="120" w:line="240" w:lineRule="auto"/>
        <w:rPr>
          <w:rFonts w:cs="Calibri"/>
        </w:rPr>
      </w:pPr>
      <w:r>
        <w:rPr>
          <w:rFonts w:cs="Calibri"/>
        </w:rPr>
        <w:t>Matières incompatibles : Source d’inflammation. Rayons directs du soleil.</w:t>
      </w:r>
    </w:p>
    <w:p w14:paraId="53062B7A" w14:textId="77777777" w:rsidR="001F24C9" w:rsidRDefault="00000000">
      <w:pPr>
        <w:spacing w:before="120" w:after="120" w:line="240" w:lineRule="auto"/>
        <w:rPr>
          <w:rFonts w:cs="Calibri"/>
        </w:rPr>
      </w:pPr>
      <w:r>
        <w:rPr>
          <w:rFonts w:cs="Calibri"/>
        </w:rPr>
        <w:lastRenderedPageBreak/>
        <w:t>Durée de stockage maximale : 12 mois.</w:t>
      </w:r>
    </w:p>
    <w:p w14:paraId="2EBECFFF"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7.3. Utilisation(s) finale(s) particulière(s)</w:t>
      </w:r>
    </w:p>
    <w:p w14:paraId="693E39F5" w14:textId="77777777" w:rsidR="001F24C9" w:rsidRDefault="00000000">
      <w:pPr>
        <w:spacing w:before="120" w:after="120" w:line="240" w:lineRule="auto"/>
        <w:rPr>
          <w:rFonts w:cs="Calibri"/>
        </w:rPr>
      </w:pPr>
      <w:r>
        <w:rPr>
          <w:rFonts w:cs="Calibri"/>
        </w:rPr>
        <w:t>Pas d’informations complémentaires disponibles.</w:t>
      </w:r>
    </w:p>
    <w:p w14:paraId="1342616B" w14:textId="77777777" w:rsidR="001F24C9" w:rsidRDefault="00000000">
      <w:pPr>
        <w:shd w:val="clear" w:color="auto" w:fill="8EAADB" w:themeFill="accent1" w:themeFillTint="99"/>
        <w:spacing w:before="120" w:after="120" w:line="240" w:lineRule="auto"/>
        <w:rPr>
          <w:rFonts w:cs="Calibri"/>
          <w:sz w:val="28"/>
          <w:szCs w:val="28"/>
        </w:rPr>
      </w:pPr>
      <w:r>
        <w:rPr>
          <w:rFonts w:cs="Calibri"/>
          <w:sz w:val="28"/>
          <w:szCs w:val="28"/>
        </w:rPr>
        <w:t>RUBRIQUE 8 : Contrôles de l’exposition/Protection individuelle</w:t>
      </w:r>
    </w:p>
    <w:p w14:paraId="74A0118C"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8.1. Paramètres de contrôle</w:t>
      </w:r>
    </w:p>
    <w:p w14:paraId="3BCE133B" w14:textId="77777777" w:rsidR="001F24C9" w:rsidRDefault="00000000">
      <w:pPr>
        <w:spacing w:before="120" w:after="120" w:line="240" w:lineRule="auto"/>
        <w:rPr>
          <w:rFonts w:cs="Calibri"/>
        </w:rPr>
      </w:pPr>
      <w:r>
        <w:rPr>
          <w:rFonts w:cs="Calibri"/>
        </w:rPr>
        <w:t>Pas d’informations complémentaires disponibles.</w:t>
      </w:r>
    </w:p>
    <w:p w14:paraId="6BC4A382"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8.2. Contrôles de l’exposition</w:t>
      </w:r>
    </w:p>
    <w:p w14:paraId="71C1B3B3" w14:textId="77777777" w:rsidR="001F24C9" w:rsidRDefault="00000000">
      <w:pPr>
        <w:spacing w:before="120" w:after="120" w:line="240" w:lineRule="auto"/>
        <w:rPr>
          <w:rFonts w:cs="Calibri"/>
        </w:rPr>
      </w:pPr>
      <w:r>
        <w:rPr>
          <w:rFonts w:cs="Calibri"/>
        </w:rPr>
        <w:t>Equipements de protection individuelle : Eviter toute exposition inutile.</w:t>
      </w:r>
    </w:p>
    <w:p w14:paraId="2F17D570" w14:textId="77777777" w:rsidR="001F24C9" w:rsidRDefault="00000000">
      <w:pPr>
        <w:spacing w:before="120" w:after="120" w:line="240" w:lineRule="auto"/>
        <w:rPr>
          <w:rFonts w:cs="Calibri"/>
        </w:rPr>
      </w:pPr>
      <w:r>
        <w:rPr>
          <w:rFonts w:cs="Calibri"/>
        </w:rPr>
        <w:t>Autres informations : Ne pas manger, ne pas boire et ne pas fumer pendant l’utilisation.</w:t>
      </w:r>
    </w:p>
    <w:p w14:paraId="4063E375" w14:textId="77777777" w:rsidR="001F24C9" w:rsidRDefault="001F24C9">
      <w:pPr>
        <w:spacing w:before="120" w:after="120" w:line="240" w:lineRule="auto"/>
        <w:rPr>
          <w:rFonts w:cs="Calibri"/>
        </w:rPr>
      </w:pPr>
    </w:p>
    <w:p w14:paraId="5319DB11" w14:textId="77777777" w:rsidR="001F24C9" w:rsidRDefault="00000000">
      <w:pPr>
        <w:shd w:val="clear" w:color="auto" w:fill="8EAADB" w:themeFill="accent1" w:themeFillTint="99"/>
        <w:spacing w:before="120" w:after="120" w:line="240" w:lineRule="auto"/>
        <w:rPr>
          <w:rFonts w:cs="Calibri"/>
          <w:sz w:val="28"/>
          <w:szCs w:val="28"/>
        </w:rPr>
      </w:pPr>
      <w:r>
        <w:rPr>
          <w:rFonts w:cs="Calibri"/>
          <w:sz w:val="28"/>
          <w:szCs w:val="28"/>
        </w:rPr>
        <w:t>RUBRIQUE 9 : Propriétés physiques et chimiques</w:t>
      </w:r>
    </w:p>
    <w:p w14:paraId="21F5F3AB"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9.1. Informations sur les propriétés physiques et chimiques essentielles</w:t>
      </w:r>
    </w:p>
    <w:p w14:paraId="7391AE73" w14:textId="77777777" w:rsidR="001F24C9" w:rsidRDefault="00000000">
      <w:pPr>
        <w:spacing w:before="120" w:after="120" w:line="240" w:lineRule="auto"/>
        <w:rPr>
          <w:rFonts w:cs="Calibri"/>
        </w:rPr>
      </w:pPr>
      <w:r>
        <w:rPr>
          <w:rFonts w:cs="Calibri"/>
        </w:rPr>
        <w:t>État physique : solide</w:t>
      </w:r>
    </w:p>
    <w:p w14:paraId="36DE6EFC" w14:textId="77777777" w:rsidR="001F24C9" w:rsidRDefault="00000000">
      <w:pPr>
        <w:spacing w:before="120" w:after="120" w:line="240" w:lineRule="auto"/>
        <w:rPr>
          <w:rFonts w:cs="Calibri"/>
        </w:rPr>
      </w:pPr>
      <w:r>
        <w:rPr>
          <w:rFonts w:cs="Calibri"/>
        </w:rPr>
        <w:t>Couleur : Blanchâtre</w:t>
      </w:r>
    </w:p>
    <w:p w14:paraId="0E54811B" w14:textId="77777777" w:rsidR="001F24C9" w:rsidRDefault="00000000">
      <w:pPr>
        <w:spacing w:before="120" w:after="120" w:line="240" w:lineRule="auto"/>
        <w:rPr>
          <w:rFonts w:cs="Calibri"/>
        </w:rPr>
      </w:pPr>
      <w:r>
        <w:rPr>
          <w:rFonts w:cs="Calibri"/>
        </w:rPr>
        <w:t>Odeur : Caractéristique</w:t>
      </w:r>
    </w:p>
    <w:p w14:paraId="5AE9AE31" w14:textId="77777777" w:rsidR="001F24C9" w:rsidRDefault="00000000">
      <w:pPr>
        <w:spacing w:before="120" w:after="120" w:line="240" w:lineRule="auto"/>
        <w:rPr>
          <w:rFonts w:cs="Calibri"/>
        </w:rPr>
      </w:pPr>
      <w:r>
        <w:rPr>
          <w:rFonts w:cs="Calibri"/>
        </w:rPr>
        <w:t>Point de fusion/point de congélation : 50°C</w:t>
      </w:r>
    </w:p>
    <w:p w14:paraId="51CC6F48" w14:textId="77777777" w:rsidR="001F24C9" w:rsidRDefault="00000000">
      <w:pPr>
        <w:spacing w:before="120" w:after="120" w:line="240" w:lineRule="auto"/>
        <w:rPr>
          <w:rFonts w:cs="Calibri"/>
        </w:rPr>
      </w:pPr>
      <w:r>
        <w:rPr>
          <w:rFonts w:cs="Calibri"/>
        </w:rPr>
        <w:t>Point d’ébullition ou point initial d’ébullition et intervalle d’ébullition : aucune donnée disponible</w:t>
      </w:r>
    </w:p>
    <w:p w14:paraId="2AD6030F" w14:textId="77777777" w:rsidR="001F24C9" w:rsidRDefault="00000000">
      <w:pPr>
        <w:spacing w:before="120" w:after="120" w:line="240" w:lineRule="auto"/>
        <w:rPr>
          <w:rFonts w:cs="Calibri"/>
        </w:rPr>
      </w:pPr>
      <w:r>
        <w:rPr>
          <w:rFonts w:cs="Calibri"/>
        </w:rPr>
        <w:t>Inflammabilité : aucune donnée disponible</w:t>
      </w:r>
    </w:p>
    <w:p w14:paraId="6F40317C" w14:textId="77777777" w:rsidR="001F24C9" w:rsidRDefault="00000000">
      <w:pPr>
        <w:spacing w:before="120" w:after="120" w:line="240" w:lineRule="auto"/>
        <w:rPr>
          <w:rFonts w:cs="Calibri"/>
        </w:rPr>
      </w:pPr>
      <w:r>
        <w:rPr>
          <w:rFonts w:cs="Calibri"/>
        </w:rPr>
        <w:t>Point d’éclair : 200°C</w:t>
      </w:r>
    </w:p>
    <w:p w14:paraId="0CB7567D" w14:textId="77777777" w:rsidR="001F24C9" w:rsidRDefault="00000000">
      <w:pPr>
        <w:spacing w:before="120" w:after="120" w:line="240" w:lineRule="auto"/>
        <w:rPr>
          <w:rFonts w:cs="Calibri"/>
        </w:rPr>
      </w:pPr>
      <w:r>
        <w:rPr>
          <w:rFonts w:cs="Calibri"/>
        </w:rPr>
        <w:t>Température d’auto-inflammation : aucune donnée disponible</w:t>
      </w:r>
    </w:p>
    <w:p w14:paraId="707DB760" w14:textId="77777777" w:rsidR="001F24C9" w:rsidRDefault="00000000">
      <w:pPr>
        <w:spacing w:before="120" w:after="120" w:line="240" w:lineRule="auto"/>
        <w:rPr>
          <w:rFonts w:cs="Calibri"/>
        </w:rPr>
      </w:pPr>
      <w:r>
        <w:rPr>
          <w:rFonts w:cs="Calibri"/>
        </w:rPr>
        <w:t>pH : aucune donnée disponible</w:t>
      </w:r>
    </w:p>
    <w:p w14:paraId="21F0C009" w14:textId="77777777" w:rsidR="001F24C9" w:rsidRDefault="00000000">
      <w:pPr>
        <w:spacing w:before="120" w:after="120" w:line="240" w:lineRule="auto"/>
        <w:rPr>
          <w:rFonts w:cs="Calibri"/>
        </w:rPr>
      </w:pPr>
      <w:r>
        <w:rPr>
          <w:rFonts w:cs="Calibri"/>
        </w:rPr>
        <w:t>Viscosité cinématique : aucune donnée disponible</w:t>
      </w:r>
    </w:p>
    <w:p w14:paraId="2C03CAF3" w14:textId="77777777" w:rsidR="001F24C9" w:rsidRDefault="00000000">
      <w:pPr>
        <w:spacing w:before="120" w:after="120" w:line="240" w:lineRule="auto"/>
        <w:rPr>
          <w:rFonts w:cs="Calibri"/>
        </w:rPr>
      </w:pPr>
      <w:r>
        <w:rPr>
          <w:rFonts w:cs="Calibri"/>
        </w:rPr>
        <w:t>Solubilité : non soluble</w:t>
      </w:r>
    </w:p>
    <w:p w14:paraId="288D902A"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9.2. Autres informations</w:t>
      </w:r>
    </w:p>
    <w:p w14:paraId="59E06476" w14:textId="77777777" w:rsidR="001F24C9" w:rsidRDefault="00000000">
      <w:pPr>
        <w:spacing w:before="120" w:after="120" w:line="240" w:lineRule="auto"/>
        <w:rPr>
          <w:rFonts w:cs="Calibri"/>
        </w:rPr>
      </w:pPr>
      <w:r>
        <w:rPr>
          <w:rFonts w:cs="Calibri"/>
        </w:rPr>
        <w:t>Pas d’informations complémentaires disponibles.</w:t>
      </w:r>
    </w:p>
    <w:p w14:paraId="107AEE78" w14:textId="77777777" w:rsidR="001F24C9" w:rsidRDefault="00000000">
      <w:pPr>
        <w:shd w:val="clear" w:color="auto" w:fill="8EAADB" w:themeFill="accent1" w:themeFillTint="99"/>
        <w:spacing w:before="120" w:after="120" w:line="240" w:lineRule="auto"/>
        <w:rPr>
          <w:rFonts w:cs="Calibri"/>
          <w:sz w:val="28"/>
          <w:szCs w:val="28"/>
        </w:rPr>
      </w:pPr>
      <w:r>
        <w:rPr>
          <w:rFonts w:cs="Calibri"/>
          <w:sz w:val="28"/>
          <w:szCs w:val="28"/>
        </w:rPr>
        <w:t>RUBRIQUE 10 : Stabilité et réactivité</w:t>
      </w:r>
    </w:p>
    <w:p w14:paraId="571B1EC6"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10.1. Réactivité</w:t>
      </w:r>
    </w:p>
    <w:p w14:paraId="46788013" w14:textId="77777777" w:rsidR="001F24C9" w:rsidRDefault="00000000">
      <w:pPr>
        <w:spacing w:before="120" w:after="120" w:line="240" w:lineRule="auto"/>
        <w:rPr>
          <w:rFonts w:cs="Calibri"/>
          <w:sz w:val="20"/>
          <w:szCs w:val="20"/>
        </w:rPr>
      </w:pPr>
      <w:r>
        <w:t>Le produit n’est pas réactif dans les conditions normales d’utilisation, de stockage et de transport.</w:t>
      </w:r>
    </w:p>
    <w:p w14:paraId="17D63332"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10.2. Stabilité chimique</w:t>
      </w:r>
    </w:p>
    <w:p w14:paraId="0F76B3EC" w14:textId="77777777" w:rsidR="001F24C9" w:rsidRDefault="00000000">
      <w:pPr>
        <w:spacing w:before="120" w:after="120" w:line="240" w:lineRule="auto"/>
        <w:rPr>
          <w:rFonts w:cs="Calibri"/>
          <w:sz w:val="20"/>
          <w:szCs w:val="20"/>
        </w:rPr>
      </w:pPr>
      <w:r>
        <w:t>Stable dans les conditions normales.</w:t>
      </w:r>
    </w:p>
    <w:p w14:paraId="57E12565"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10.3. Possibilité de réactions dangereuses</w:t>
      </w:r>
    </w:p>
    <w:p w14:paraId="73648A86" w14:textId="77777777" w:rsidR="001F24C9" w:rsidRDefault="00000000">
      <w:pPr>
        <w:spacing w:before="120" w:after="120" w:line="240" w:lineRule="auto"/>
        <w:rPr>
          <w:rFonts w:cs="Calibri"/>
          <w:sz w:val="20"/>
          <w:szCs w:val="20"/>
        </w:rPr>
      </w:pPr>
      <w:r>
        <w:t>Pas de réaction dangereuse connue dans les conditions normales d’emploi.</w:t>
      </w:r>
    </w:p>
    <w:p w14:paraId="73233A07"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10.4. Conditions à éviter</w:t>
      </w:r>
    </w:p>
    <w:p w14:paraId="2976086B" w14:textId="77777777" w:rsidR="001F24C9" w:rsidRDefault="00000000">
      <w:pPr>
        <w:spacing w:before="120" w:after="120" w:line="240" w:lineRule="auto"/>
        <w:rPr>
          <w:rFonts w:cs="Calibri"/>
          <w:sz w:val="20"/>
          <w:szCs w:val="20"/>
        </w:rPr>
      </w:pPr>
      <w:r>
        <w:lastRenderedPageBreak/>
        <w:t>Aucune dans des conditions de stockage et de manipulation recommandées (voir rubrique 7).</w:t>
      </w:r>
    </w:p>
    <w:p w14:paraId="302DBDAD"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10.5. Matières incompatibles</w:t>
      </w:r>
    </w:p>
    <w:p w14:paraId="65D2504A" w14:textId="77777777" w:rsidR="001F24C9" w:rsidRDefault="00000000">
      <w:pPr>
        <w:spacing w:before="120" w:after="120" w:line="240" w:lineRule="auto"/>
        <w:rPr>
          <w:rFonts w:cs="Calibri"/>
          <w:sz w:val="20"/>
          <w:szCs w:val="20"/>
        </w:rPr>
      </w:pPr>
      <w:r>
        <w:t>Pas d’informations complémentaires disponibles</w:t>
      </w:r>
    </w:p>
    <w:p w14:paraId="505F1ACC"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10.6. Produits de décomposition dangereux</w:t>
      </w:r>
    </w:p>
    <w:p w14:paraId="6B93DDDF" w14:textId="77777777" w:rsidR="001F24C9" w:rsidRDefault="00000000">
      <w:pPr>
        <w:spacing w:before="120" w:after="120" w:line="240" w:lineRule="auto"/>
      </w:pPr>
      <w:r>
        <w:t>Aucun produit de décomposition dangereux ne devrait être généré dans les conditions normales de stockage et d’emploi.</w:t>
      </w:r>
    </w:p>
    <w:p w14:paraId="22B3A515" w14:textId="77777777" w:rsidR="001F24C9" w:rsidRDefault="00000000">
      <w:pPr>
        <w:shd w:val="clear" w:color="auto" w:fill="8EAADB" w:themeFill="accent1" w:themeFillTint="99"/>
        <w:spacing w:before="120" w:after="120" w:line="240" w:lineRule="auto"/>
        <w:rPr>
          <w:rFonts w:cs="Calibri"/>
          <w:sz w:val="28"/>
          <w:szCs w:val="28"/>
        </w:rPr>
      </w:pPr>
      <w:r>
        <w:rPr>
          <w:rFonts w:cs="Calibri"/>
          <w:sz w:val="28"/>
          <w:szCs w:val="28"/>
        </w:rPr>
        <w:t>RUBRIQUE 11 : Informations toxicologiques</w:t>
      </w:r>
    </w:p>
    <w:tbl>
      <w:tblPr>
        <w:tblStyle w:val="SDSTableWithoutBorders"/>
        <w:tblW w:w="10491" w:type="dxa"/>
        <w:tblLayout w:type="fixed"/>
        <w:tblLook w:val="04A0" w:firstRow="1" w:lastRow="0" w:firstColumn="1" w:lastColumn="0" w:noHBand="0" w:noVBand="1"/>
      </w:tblPr>
      <w:tblGrid>
        <w:gridCol w:w="3685"/>
        <w:gridCol w:w="284"/>
        <w:gridCol w:w="6522"/>
      </w:tblGrid>
      <w:tr w:rsidR="001F24C9" w14:paraId="554EF044" w14:textId="77777777">
        <w:tc>
          <w:tcPr>
            <w:tcW w:w="3685" w:type="dxa"/>
          </w:tcPr>
          <w:p w14:paraId="60D0CDD9"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Toxicité aiguë (orale)</w:t>
            </w:r>
          </w:p>
        </w:tc>
        <w:tc>
          <w:tcPr>
            <w:tcW w:w="284" w:type="dxa"/>
          </w:tcPr>
          <w:p w14:paraId="4575F904" w14:textId="77777777" w:rsidR="001F24C9"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59DED99B"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Non classé</w:t>
            </w:r>
          </w:p>
        </w:tc>
      </w:tr>
      <w:tr w:rsidR="001F24C9" w14:paraId="42FEDCC7" w14:textId="77777777">
        <w:tc>
          <w:tcPr>
            <w:tcW w:w="3685" w:type="dxa"/>
          </w:tcPr>
          <w:p w14:paraId="50643C31"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Toxicité aiguë (cutanée)</w:t>
            </w:r>
          </w:p>
        </w:tc>
        <w:tc>
          <w:tcPr>
            <w:tcW w:w="284" w:type="dxa"/>
          </w:tcPr>
          <w:p w14:paraId="3065F553" w14:textId="77777777" w:rsidR="001F24C9"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52813C9B"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Non classé</w:t>
            </w:r>
          </w:p>
        </w:tc>
      </w:tr>
      <w:tr w:rsidR="001F24C9" w14:paraId="5C12BC1D" w14:textId="77777777">
        <w:tc>
          <w:tcPr>
            <w:tcW w:w="3685" w:type="dxa"/>
          </w:tcPr>
          <w:p w14:paraId="4668894C"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Toxicité aiguë (Inhalation)</w:t>
            </w:r>
          </w:p>
        </w:tc>
        <w:tc>
          <w:tcPr>
            <w:tcW w:w="284" w:type="dxa"/>
          </w:tcPr>
          <w:p w14:paraId="3367FBA2" w14:textId="77777777" w:rsidR="001F24C9"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372D3338"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Non classé</w:t>
            </w:r>
          </w:p>
        </w:tc>
      </w:tr>
    </w:tbl>
    <w:p w14:paraId="55C79D65" w14:textId="77777777" w:rsidR="001F24C9" w:rsidRDefault="001F24C9">
      <w:pPr>
        <w:spacing w:after="5" w:line="259" w:lineRule="auto"/>
        <w:jc w:val="both"/>
      </w:pPr>
    </w:p>
    <w:tbl>
      <w:tblPr>
        <w:tblStyle w:val="SDSTableWithBordersWithHeaderRow"/>
        <w:tblW w:w="10489" w:type="dxa"/>
        <w:tblLayout w:type="fixed"/>
        <w:tblLook w:val="04A0" w:firstRow="1" w:lastRow="0" w:firstColumn="1" w:lastColumn="0" w:noHBand="0" w:noVBand="1"/>
      </w:tblPr>
      <w:tblGrid>
        <w:gridCol w:w="3969"/>
        <w:gridCol w:w="6520"/>
      </w:tblGrid>
      <w:tr w:rsidR="001F24C9" w14:paraId="7742E4FB" w14:textId="77777777" w:rsidTr="001F24C9">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65EE0501" w14:textId="77777777" w:rsidR="001F24C9" w:rsidRDefault="00000000">
            <w:pPr>
              <w:pStyle w:val="SDSTableTextHeading1"/>
            </w:pPr>
            <w:r>
              <w:t>DAMACENONE (23696-85-7)</w:t>
            </w:r>
          </w:p>
        </w:tc>
      </w:tr>
      <w:tr w:rsidR="001F24C9" w14:paraId="228066E4" w14:textId="77777777" w:rsidTr="001F24C9">
        <w:tc>
          <w:tcPr>
            <w:tcW w:w="3969" w:type="dxa"/>
          </w:tcPr>
          <w:p w14:paraId="5C57676B" w14:textId="77777777" w:rsidR="001F24C9" w:rsidRDefault="00000000">
            <w:pPr>
              <w:pStyle w:val="SDSTableTextNormal"/>
            </w:pPr>
            <w:r>
              <w:t xml:space="preserve">DL50 </w:t>
            </w:r>
            <w:proofErr w:type="spellStart"/>
            <w:r>
              <w:t>voie</w:t>
            </w:r>
            <w:proofErr w:type="spellEnd"/>
            <w:r>
              <w:t xml:space="preserve"> </w:t>
            </w:r>
            <w:proofErr w:type="spellStart"/>
            <w:r>
              <w:t>cutanée</w:t>
            </w:r>
            <w:proofErr w:type="spellEnd"/>
          </w:p>
        </w:tc>
        <w:tc>
          <w:tcPr>
            <w:tcW w:w="6520" w:type="dxa"/>
          </w:tcPr>
          <w:p w14:paraId="202765FD" w14:textId="77777777" w:rsidR="001F24C9" w:rsidRDefault="00000000">
            <w:pPr>
              <w:pStyle w:val="SDSTableTextNormal"/>
            </w:pPr>
            <w:r>
              <w:t xml:space="preserve">2900 mg/kg de </w:t>
            </w:r>
            <w:proofErr w:type="spellStart"/>
            <w:r>
              <w:t>poids</w:t>
            </w:r>
            <w:proofErr w:type="spellEnd"/>
            <w:r>
              <w:t xml:space="preserve"> </w:t>
            </w:r>
            <w:proofErr w:type="spellStart"/>
            <w:r>
              <w:t>corporel</w:t>
            </w:r>
            <w:proofErr w:type="spellEnd"/>
          </w:p>
        </w:tc>
      </w:tr>
    </w:tbl>
    <w:p w14:paraId="32F7F359" w14:textId="77777777" w:rsidR="001F24C9" w:rsidRDefault="001F24C9">
      <w:pPr>
        <w:spacing w:after="5" w:line="259" w:lineRule="auto"/>
        <w:jc w:val="both"/>
      </w:pPr>
    </w:p>
    <w:tbl>
      <w:tblPr>
        <w:tblStyle w:val="SDSTableWithBordersWithHeaderRow"/>
        <w:tblW w:w="10489" w:type="dxa"/>
        <w:tblLayout w:type="fixed"/>
        <w:tblLook w:val="04A0" w:firstRow="1" w:lastRow="0" w:firstColumn="1" w:lastColumn="0" w:noHBand="0" w:noVBand="1"/>
      </w:tblPr>
      <w:tblGrid>
        <w:gridCol w:w="3969"/>
        <w:gridCol w:w="6520"/>
      </w:tblGrid>
      <w:tr w:rsidR="001F24C9" w14:paraId="35FF8DD7" w14:textId="77777777" w:rsidTr="001F24C9">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6D3F71D9" w14:textId="77777777" w:rsidR="001F24C9" w:rsidRDefault="00000000">
            <w:pPr>
              <w:pStyle w:val="SDSTableTextHeading1"/>
            </w:pPr>
            <w:r>
              <w:t>HELIOTROPINE (120-57-0)</w:t>
            </w:r>
          </w:p>
        </w:tc>
      </w:tr>
      <w:tr w:rsidR="001F24C9" w14:paraId="0D41FC51" w14:textId="77777777" w:rsidTr="001F24C9">
        <w:tc>
          <w:tcPr>
            <w:tcW w:w="3969" w:type="dxa"/>
          </w:tcPr>
          <w:p w14:paraId="27F13C43" w14:textId="77777777" w:rsidR="001F24C9" w:rsidRDefault="00000000">
            <w:pPr>
              <w:pStyle w:val="SDSTableTextNormal"/>
            </w:pPr>
            <w:r>
              <w:t xml:space="preserve">DL50 </w:t>
            </w:r>
            <w:proofErr w:type="spellStart"/>
            <w:r>
              <w:t>orale</w:t>
            </w:r>
            <w:proofErr w:type="spellEnd"/>
          </w:p>
        </w:tc>
        <w:tc>
          <w:tcPr>
            <w:tcW w:w="6520" w:type="dxa"/>
          </w:tcPr>
          <w:p w14:paraId="6CA190EE" w14:textId="77777777" w:rsidR="001F24C9" w:rsidRDefault="00000000">
            <w:pPr>
              <w:pStyle w:val="SDSTableTextNormal"/>
            </w:pPr>
            <w:r>
              <w:t xml:space="preserve">2700 mg/kg de </w:t>
            </w:r>
            <w:proofErr w:type="spellStart"/>
            <w:r>
              <w:t>poids</w:t>
            </w:r>
            <w:proofErr w:type="spellEnd"/>
            <w:r>
              <w:t xml:space="preserve"> </w:t>
            </w:r>
            <w:proofErr w:type="spellStart"/>
            <w:r>
              <w:t>corporel</w:t>
            </w:r>
            <w:proofErr w:type="spellEnd"/>
          </w:p>
        </w:tc>
      </w:tr>
    </w:tbl>
    <w:p w14:paraId="37795AA9" w14:textId="77777777" w:rsidR="001F24C9" w:rsidRDefault="001F24C9">
      <w:pPr>
        <w:spacing w:after="5" w:line="259" w:lineRule="auto"/>
        <w:jc w:val="both"/>
      </w:pPr>
    </w:p>
    <w:p w14:paraId="4597D7D1" w14:textId="77777777" w:rsidR="001F24C9" w:rsidRDefault="001F24C9">
      <w:pPr>
        <w:spacing w:after="5" w:line="259" w:lineRule="auto"/>
        <w:jc w:val="both"/>
      </w:pPr>
    </w:p>
    <w:tbl>
      <w:tblPr>
        <w:tblStyle w:val="SDSTableWithoutBorders"/>
        <w:tblW w:w="10491" w:type="dxa"/>
        <w:tblLayout w:type="fixed"/>
        <w:tblLook w:val="04A0" w:firstRow="1" w:lastRow="0" w:firstColumn="1" w:lastColumn="0" w:noHBand="0" w:noVBand="1"/>
      </w:tblPr>
      <w:tblGrid>
        <w:gridCol w:w="3685"/>
        <w:gridCol w:w="284"/>
        <w:gridCol w:w="6522"/>
      </w:tblGrid>
      <w:tr w:rsidR="001F24C9" w14:paraId="217528E5" w14:textId="77777777">
        <w:tc>
          <w:tcPr>
            <w:tcW w:w="3685" w:type="dxa"/>
          </w:tcPr>
          <w:p w14:paraId="6D3F3F45"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Corrosion cutanée/irritation cutanée</w:t>
            </w:r>
          </w:p>
        </w:tc>
        <w:tc>
          <w:tcPr>
            <w:tcW w:w="284" w:type="dxa"/>
          </w:tcPr>
          <w:p w14:paraId="2E6B2BCF" w14:textId="77777777" w:rsidR="001F24C9"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607C73D9"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Non classé</w:t>
            </w:r>
          </w:p>
        </w:tc>
      </w:tr>
      <w:tr w:rsidR="001F24C9" w14:paraId="5BA470FC" w14:textId="77777777">
        <w:tc>
          <w:tcPr>
            <w:tcW w:w="3685" w:type="dxa"/>
          </w:tcPr>
          <w:p w14:paraId="26AEA399"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Indications complémentaires</w:t>
            </w:r>
          </w:p>
        </w:tc>
        <w:tc>
          <w:tcPr>
            <w:tcW w:w="284" w:type="dxa"/>
          </w:tcPr>
          <w:p w14:paraId="14C6E639" w14:textId="77777777" w:rsidR="001F24C9"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2D7AD0AE"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Compte tenu des données disponibles, les critères de classification ne sont pas remplis</w:t>
            </w:r>
          </w:p>
        </w:tc>
      </w:tr>
    </w:tbl>
    <w:p w14:paraId="4E8F6237" w14:textId="77777777" w:rsidR="001F24C9" w:rsidRDefault="001F24C9">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5"/>
        <w:gridCol w:w="284"/>
        <w:gridCol w:w="6522"/>
      </w:tblGrid>
      <w:tr w:rsidR="001F24C9" w14:paraId="440211F9" w14:textId="77777777">
        <w:tc>
          <w:tcPr>
            <w:tcW w:w="3685" w:type="dxa"/>
          </w:tcPr>
          <w:p w14:paraId="6DB7BCAE"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Lésions oculaires graves/irritation oculaire</w:t>
            </w:r>
          </w:p>
        </w:tc>
        <w:tc>
          <w:tcPr>
            <w:tcW w:w="284" w:type="dxa"/>
          </w:tcPr>
          <w:p w14:paraId="3CCE6436" w14:textId="77777777" w:rsidR="001F24C9"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54E72EFA"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Non classé</w:t>
            </w:r>
          </w:p>
        </w:tc>
      </w:tr>
      <w:tr w:rsidR="001F24C9" w14:paraId="6128C663" w14:textId="77777777">
        <w:tc>
          <w:tcPr>
            <w:tcW w:w="3685" w:type="dxa"/>
          </w:tcPr>
          <w:p w14:paraId="1E785F8A"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Indications complémentaires</w:t>
            </w:r>
          </w:p>
        </w:tc>
        <w:tc>
          <w:tcPr>
            <w:tcW w:w="284" w:type="dxa"/>
          </w:tcPr>
          <w:p w14:paraId="0AF6020F" w14:textId="77777777" w:rsidR="001F24C9"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1AB9B385"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Compte tenu des données disponibles, les critères de classification ne sont pas remplis</w:t>
            </w:r>
          </w:p>
        </w:tc>
      </w:tr>
    </w:tbl>
    <w:p w14:paraId="744FB255" w14:textId="77777777" w:rsidR="001F24C9" w:rsidRDefault="001F24C9">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5"/>
        <w:gridCol w:w="284"/>
        <w:gridCol w:w="6522"/>
      </w:tblGrid>
      <w:tr w:rsidR="001F24C9" w14:paraId="26B888FC" w14:textId="77777777">
        <w:tc>
          <w:tcPr>
            <w:tcW w:w="3685" w:type="dxa"/>
          </w:tcPr>
          <w:p w14:paraId="30795613"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Sensibilisation respiratoire ou cutanée</w:t>
            </w:r>
          </w:p>
        </w:tc>
        <w:tc>
          <w:tcPr>
            <w:tcW w:w="284" w:type="dxa"/>
          </w:tcPr>
          <w:p w14:paraId="39E7DFA9" w14:textId="77777777" w:rsidR="001F24C9"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0F7C182F"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Non classé</w:t>
            </w:r>
          </w:p>
        </w:tc>
      </w:tr>
    </w:tbl>
    <w:p w14:paraId="106BF115" w14:textId="77777777" w:rsidR="001F24C9" w:rsidRDefault="001F24C9">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5"/>
        <w:gridCol w:w="284"/>
        <w:gridCol w:w="6522"/>
      </w:tblGrid>
      <w:tr w:rsidR="001F24C9" w14:paraId="204B8C87" w14:textId="77777777">
        <w:tc>
          <w:tcPr>
            <w:tcW w:w="3685" w:type="dxa"/>
          </w:tcPr>
          <w:p w14:paraId="180C7BB0"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Mutagénicité sur les cellules germinales</w:t>
            </w:r>
          </w:p>
        </w:tc>
        <w:tc>
          <w:tcPr>
            <w:tcW w:w="284" w:type="dxa"/>
          </w:tcPr>
          <w:p w14:paraId="31F1C63C" w14:textId="77777777" w:rsidR="001F24C9"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234EC796"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Non classé</w:t>
            </w:r>
          </w:p>
        </w:tc>
      </w:tr>
      <w:tr w:rsidR="001F24C9" w14:paraId="78996C8C" w14:textId="77777777">
        <w:tc>
          <w:tcPr>
            <w:tcW w:w="3685" w:type="dxa"/>
          </w:tcPr>
          <w:p w14:paraId="0D5AD204"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Indications complémentaires</w:t>
            </w:r>
          </w:p>
        </w:tc>
        <w:tc>
          <w:tcPr>
            <w:tcW w:w="284" w:type="dxa"/>
          </w:tcPr>
          <w:p w14:paraId="7037950E" w14:textId="77777777" w:rsidR="001F24C9"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1F5E1D5E"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Compte tenu des données disponibles, les critères de classification ne sont pas remplis</w:t>
            </w:r>
          </w:p>
        </w:tc>
      </w:tr>
    </w:tbl>
    <w:p w14:paraId="30E6290D" w14:textId="77777777" w:rsidR="001F24C9" w:rsidRDefault="001F24C9">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5"/>
        <w:gridCol w:w="284"/>
        <w:gridCol w:w="6522"/>
      </w:tblGrid>
      <w:tr w:rsidR="001F24C9" w14:paraId="3EF160C2" w14:textId="77777777">
        <w:tc>
          <w:tcPr>
            <w:tcW w:w="3685" w:type="dxa"/>
          </w:tcPr>
          <w:p w14:paraId="08C1AAAC"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Cancérogénicité</w:t>
            </w:r>
          </w:p>
        </w:tc>
        <w:tc>
          <w:tcPr>
            <w:tcW w:w="284" w:type="dxa"/>
          </w:tcPr>
          <w:p w14:paraId="08BD3EE3" w14:textId="77777777" w:rsidR="001F24C9"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5F2238FE"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Non classé</w:t>
            </w:r>
          </w:p>
        </w:tc>
      </w:tr>
      <w:tr w:rsidR="001F24C9" w14:paraId="35FD095E" w14:textId="77777777">
        <w:tc>
          <w:tcPr>
            <w:tcW w:w="3685" w:type="dxa"/>
          </w:tcPr>
          <w:p w14:paraId="4D19CF50"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Indications complémentaires</w:t>
            </w:r>
          </w:p>
        </w:tc>
        <w:tc>
          <w:tcPr>
            <w:tcW w:w="284" w:type="dxa"/>
          </w:tcPr>
          <w:p w14:paraId="72330BEC" w14:textId="77777777" w:rsidR="001F24C9"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2B5D5119"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 xml:space="preserve">Compte tenu des données disponibles, les critères de classification ne sont pas remplis </w:t>
            </w:r>
          </w:p>
        </w:tc>
      </w:tr>
    </w:tbl>
    <w:p w14:paraId="475D3A75" w14:textId="77777777" w:rsidR="001F24C9" w:rsidRDefault="001F24C9">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1F24C9" w14:paraId="1DBBC630" w14:textId="77777777">
        <w:tc>
          <w:tcPr>
            <w:tcW w:w="3686" w:type="dxa"/>
          </w:tcPr>
          <w:p w14:paraId="5E987624"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Toxicité pour la reproduction</w:t>
            </w:r>
          </w:p>
        </w:tc>
        <w:tc>
          <w:tcPr>
            <w:tcW w:w="283" w:type="dxa"/>
          </w:tcPr>
          <w:p w14:paraId="19F9228A" w14:textId="77777777" w:rsidR="001F24C9"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1" w:type="dxa"/>
          </w:tcPr>
          <w:p w14:paraId="05AECB59"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Non classé</w:t>
            </w:r>
          </w:p>
        </w:tc>
      </w:tr>
      <w:tr w:rsidR="001F24C9" w14:paraId="75D116C7" w14:textId="77777777">
        <w:tc>
          <w:tcPr>
            <w:tcW w:w="3686" w:type="dxa"/>
          </w:tcPr>
          <w:p w14:paraId="47AEE366"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Indications complémentaires</w:t>
            </w:r>
          </w:p>
        </w:tc>
        <w:tc>
          <w:tcPr>
            <w:tcW w:w="283" w:type="dxa"/>
          </w:tcPr>
          <w:p w14:paraId="1B56903B" w14:textId="77777777" w:rsidR="001F24C9"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1" w:type="dxa"/>
          </w:tcPr>
          <w:p w14:paraId="62E7E88B"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Compte tenu des données disponibles, les critères de classification ne sont pas remplis</w:t>
            </w:r>
          </w:p>
        </w:tc>
      </w:tr>
    </w:tbl>
    <w:p w14:paraId="7163BAEA" w14:textId="77777777" w:rsidR="001F24C9" w:rsidRDefault="001F24C9">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5"/>
        <w:gridCol w:w="284"/>
        <w:gridCol w:w="6522"/>
      </w:tblGrid>
      <w:tr w:rsidR="001F24C9" w14:paraId="0FB50F35" w14:textId="77777777">
        <w:tc>
          <w:tcPr>
            <w:tcW w:w="3685" w:type="dxa"/>
          </w:tcPr>
          <w:p w14:paraId="1A068F22"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Toxicité spécifique pour certains organes cibles (STOT) (exposition unique)</w:t>
            </w:r>
          </w:p>
        </w:tc>
        <w:tc>
          <w:tcPr>
            <w:tcW w:w="284" w:type="dxa"/>
          </w:tcPr>
          <w:p w14:paraId="08ADC307" w14:textId="77777777" w:rsidR="001F24C9"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0D1F9573"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Non classé</w:t>
            </w:r>
          </w:p>
        </w:tc>
      </w:tr>
      <w:tr w:rsidR="001F24C9" w14:paraId="3084F399" w14:textId="77777777">
        <w:tc>
          <w:tcPr>
            <w:tcW w:w="3685" w:type="dxa"/>
          </w:tcPr>
          <w:p w14:paraId="30152119"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Indications complémentaires</w:t>
            </w:r>
          </w:p>
        </w:tc>
        <w:tc>
          <w:tcPr>
            <w:tcW w:w="284" w:type="dxa"/>
          </w:tcPr>
          <w:p w14:paraId="35A38271" w14:textId="77777777" w:rsidR="001F24C9"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5CCFF208"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Compte tenu des données disponibles, les critères de classification ne sont pas remplis</w:t>
            </w:r>
          </w:p>
        </w:tc>
      </w:tr>
    </w:tbl>
    <w:p w14:paraId="7782147D" w14:textId="77777777" w:rsidR="001F24C9" w:rsidRDefault="001F24C9">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1F24C9" w14:paraId="2FFA17CD" w14:textId="77777777">
        <w:tc>
          <w:tcPr>
            <w:tcW w:w="3686" w:type="dxa"/>
          </w:tcPr>
          <w:p w14:paraId="5458EC6E"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Toxicité spécifique pour certains organes cibles (STOT) (exposition répétée)</w:t>
            </w:r>
          </w:p>
        </w:tc>
        <w:tc>
          <w:tcPr>
            <w:tcW w:w="283" w:type="dxa"/>
          </w:tcPr>
          <w:p w14:paraId="72731CE3" w14:textId="77777777" w:rsidR="001F24C9"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1" w:type="dxa"/>
          </w:tcPr>
          <w:p w14:paraId="45282401"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Non classé</w:t>
            </w:r>
          </w:p>
        </w:tc>
      </w:tr>
      <w:tr w:rsidR="001F24C9" w14:paraId="28481ADD" w14:textId="77777777">
        <w:tc>
          <w:tcPr>
            <w:tcW w:w="3686" w:type="dxa"/>
          </w:tcPr>
          <w:p w14:paraId="286FDA5B"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Indications complémentaires</w:t>
            </w:r>
          </w:p>
        </w:tc>
        <w:tc>
          <w:tcPr>
            <w:tcW w:w="283" w:type="dxa"/>
          </w:tcPr>
          <w:p w14:paraId="6618A874" w14:textId="77777777" w:rsidR="001F24C9"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1" w:type="dxa"/>
          </w:tcPr>
          <w:p w14:paraId="5B034A59"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Compte tenu des données disponibles, les critères de classification ne sont pas remplis</w:t>
            </w:r>
          </w:p>
        </w:tc>
      </w:tr>
    </w:tbl>
    <w:p w14:paraId="713B64A7" w14:textId="77777777" w:rsidR="001F24C9" w:rsidRDefault="001F24C9">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5"/>
        <w:gridCol w:w="284"/>
        <w:gridCol w:w="6522"/>
      </w:tblGrid>
      <w:tr w:rsidR="001F24C9" w14:paraId="57F1D2C7" w14:textId="77777777">
        <w:tc>
          <w:tcPr>
            <w:tcW w:w="3685" w:type="dxa"/>
          </w:tcPr>
          <w:p w14:paraId="0E9148BE"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Danger par aspiration</w:t>
            </w:r>
          </w:p>
        </w:tc>
        <w:tc>
          <w:tcPr>
            <w:tcW w:w="284" w:type="dxa"/>
          </w:tcPr>
          <w:p w14:paraId="76A04E0D" w14:textId="77777777" w:rsidR="001F24C9"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7EDF4F4A"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Non classé</w:t>
            </w:r>
          </w:p>
        </w:tc>
      </w:tr>
      <w:tr w:rsidR="001F24C9" w14:paraId="16FCCB69" w14:textId="77777777">
        <w:tc>
          <w:tcPr>
            <w:tcW w:w="3685" w:type="dxa"/>
          </w:tcPr>
          <w:p w14:paraId="732FF0BC"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Indications complémentaires</w:t>
            </w:r>
          </w:p>
        </w:tc>
        <w:tc>
          <w:tcPr>
            <w:tcW w:w="284" w:type="dxa"/>
          </w:tcPr>
          <w:p w14:paraId="11335157" w14:textId="77777777" w:rsidR="001F24C9"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2" w:type="dxa"/>
          </w:tcPr>
          <w:p w14:paraId="78C41F97"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Compte tenu des données disponibles, les critères de classification ne sont pas remplis</w:t>
            </w:r>
          </w:p>
        </w:tc>
      </w:tr>
    </w:tbl>
    <w:p w14:paraId="7B142FD1" w14:textId="77777777" w:rsidR="001F24C9" w:rsidRDefault="001F24C9">
      <w:pPr>
        <w:spacing w:after="5" w:line="259" w:lineRule="auto"/>
        <w:jc w:val="both"/>
      </w:pPr>
    </w:p>
    <w:p w14:paraId="507B595D" w14:textId="77777777" w:rsidR="001F24C9" w:rsidRDefault="00000000">
      <w:pPr>
        <w:shd w:val="clear" w:color="auto" w:fill="8EAADB" w:themeFill="accent1" w:themeFillTint="99"/>
        <w:spacing w:before="120" w:after="120" w:line="240" w:lineRule="auto"/>
        <w:rPr>
          <w:rFonts w:cs="Calibri"/>
          <w:sz w:val="28"/>
          <w:szCs w:val="28"/>
        </w:rPr>
      </w:pPr>
      <w:r>
        <w:rPr>
          <w:rFonts w:cs="Calibri"/>
          <w:sz w:val="28"/>
          <w:szCs w:val="28"/>
        </w:rPr>
        <w:t>RUBRIQUE 12 : Informations écologiques</w:t>
      </w:r>
    </w:p>
    <w:tbl>
      <w:tblPr>
        <w:tblStyle w:val="SDSTableWithoutBorders"/>
        <w:tblW w:w="10490" w:type="dxa"/>
        <w:tblLayout w:type="fixed"/>
        <w:tblLook w:val="04A0" w:firstRow="1" w:lastRow="0" w:firstColumn="1" w:lastColumn="0" w:noHBand="0" w:noVBand="1"/>
      </w:tblPr>
      <w:tblGrid>
        <w:gridCol w:w="3686"/>
        <w:gridCol w:w="284"/>
        <w:gridCol w:w="6520"/>
      </w:tblGrid>
      <w:tr w:rsidR="001F24C9" w14:paraId="3D56B11D" w14:textId="77777777">
        <w:tc>
          <w:tcPr>
            <w:tcW w:w="3686" w:type="dxa"/>
          </w:tcPr>
          <w:p w14:paraId="2720291E"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Dangers pour le milieu aquatique, à court terme (aiguë)</w:t>
            </w:r>
          </w:p>
        </w:tc>
        <w:tc>
          <w:tcPr>
            <w:tcW w:w="284" w:type="dxa"/>
          </w:tcPr>
          <w:p w14:paraId="17D61FB2" w14:textId="77777777" w:rsidR="001F24C9"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0" w:type="dxa"/>
          </w:tcPr>
          <w:p w14:paraId="0C8AA132"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Calibri"/>
                <w:sz w:val="22"/>
                <w:szCs w:val="22"/>
                <w:lang w:val="fr-FR" w:eastAsia="en-US"/>
              </w:rPr>
              <w:t>Non classé.</w:t>
            </w:r>
          </w:p>
        </w:tc>
      </w:tr>
      <w:tr w:rsidR="001F24C9" w14:paraId="7598A1C3" w14:textId="77777777">
        <w:tc>
          <w:tcPr>
            <w:tcW w:w="3686" w:type="dxa"/>
          </w:tcPr>
          <w:p w14:paraId="41D576FC"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Dangers pour le milieu aquatique, à long terme (chronique)</w:t>
            </w:r>
          </w:p>
        </w:tc>
        <w:tc>
          <w:tcPr>
            <w:tcW w:w="284" w:type="dxa"/>
          </w:tcPr>
          <w:p w14:paraId="35426608" w14:textId="77777777" w:rsidR="001F24C9" w:rsidRDefault="00000000">
            <w:pPr>
              <w:pStyle w:val="SDSTableTextColonColumn"/>
              <w:rPr>
                <w:rFonts w:ascii="Calibri" w:eastAsia="Calibri" w:hAnsi="Calibri" w:cs="Times New Roman"/>
                <w:sz w:val="22"/>
                <w:szCs w:val="22"/>
                <w:lang w:val="fr-FR" w:eastAsia="en-US"/>
              </w:rPr>
            </w:pPr>
            <w:r>
              <w:rPr>
                <w:rFonts w:ascii="Calibri" w:eastAsia="Calibri" w:hAnsi="Calibri" w:cs="Times New Roman"/>
                <w:sz w:val="22"/>
                <w:szCs w:val="22"/>
                <w:lang w:val="fr-FR" w:eastAsia="en-US"/>
              </w:rPr>
              <w:t>:</w:t>
            </w:r>
          </w:p>
        </w:tc>
        <w:tc>
          <w:tcPr>
            <w:tcW w:w="6520" w:type="dxa"/>
          </w:tcPr>
          <w:p w14:paraId="4F511B7E" w14:textId="77777777" w:rsidR="001F24C9" w:rsidRDefault="00000000">
            <w:pPr>
              <w:pStyle w:val="SDSTableTextNormal"/>
              <w:rPr>
                <w:rFonts w:ascii="Calibri" w:eastAsia="Calibri" w:hAnsi="Calibri" w:cs="Times New Roman"/>
                <w:sz w:val="22"/>
                <w:szCs w:val="22"/>
                <w:lang w:val="fr-FR" w:eastAsia="en-US"/>
              </w:rPr>
            </w:pPr>
            <w:r>
              <w:rPr>
                <w:rFonts w:ascii="Calibri" w:eastAsia="Calibri" w:hAnsi="Calibri" w:cs="Calibri"/>
                <w:sz w:val="22"/>
                <w:szCs w:val="22"/>
                <w:lang w:val="fr-FR" w:eastAsia="en-US"/>
              </w:rPr>
              <w:t>Non classé.</w:t>
            </w:r>
          </w:p>
        </w:tc>
      </w:tr>
    </w:tbl>
    <w:p w14:paraId="7B82B2BE" w14:textId="77777777" w:rsidR="001F24C9" w:rsidRDefault="00000000">
      <w:pPr>
        <w:pStyle w:val="SDSTextHeading2"/>
        <w:rPr>
          <w:lang w:val="en-GB"/>
        </w:rPr>
      </w:pPr>
      <w:r>
        <w:rPr>
          <w:lang w:val="en-GB"/>
        </w:rPr>
        <w:t xml:space="preserve">12.2. </w:t>
      </w:r>
      <w:proofErr w:type="spellStart"/>
      <w:r>
        <w:rPr>
          <w:lang w:val="en-GB"/>
        </w:rPr>
        <w:t>Persistance</w:t>
      </w:r>
      <w:proofErr w:type="spellEnd"/>
      <w:r>
        <w:rPr>
          <w:lang w:val="en-GB"/>
        </w:rPr>
        <w:t xml:space="preserve"> et </w:t>
      </w:r>
      <w:proofErr w:type="spellStart"/>
      <w:r>
        <w:rPr>
          <w:lang w:val="en-GB"/>
        </w:rPr>
        <w:t>dégradabilité</w:t>
      </w:r>
      <w:proofErr w:type="spellEnd"/>
    </w:p>
    <w:p w14:paraId="60101B6E" w14:textId="77777777" w:rsidR="001F24C9" w:rsidRDefault="001F24C9">
      <w:pPr>
        <w:spacing w:before="120" w:after="120" w:line="240" w:lineRule="auto"/>
      </w:pPr>
    </w:p>
    <w:tbl>
      <w:tblPr>
        <w:tblStyle w:val="SDSTableWithBordersWithHeaderRow"/>
        <w:tblW w:w="10489" w:type="dxa"/>
        <w:tblLayout w:type="fixed"/>
        <w:tblLook w:val="04A0" w:firstRow="1" w:lastRow="0" w:firstColumn="1" w:lastColumn="0" w:noHBand="0" w:noVBand="1"/>
      </w:tblPr>
      <w:tblGrid>
        <w:gridCol w:w="3969"/>
        <w:gridCol w:w="6520"/>
      </w:tblGrid>
      <w:tr w:rsidR="001F24C9" w14:paraId="4A2FE2A8" w14:textId="77777777" w:rsidTr="001F24C9">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64F94744" w14:textId="77777777" w:rsidR="001F24C9" w:rsidRDefault="00000000">
            <w:pPr>
              <w:pStyle w:val="SDSTableTextHeading1"/>
            </w:pPr>
            <w:r>
              <w:t>DAMACENONE (23696-85-7)</w:t>
            </w:r>
          </w:p>
        </w:tc>
      </w:tr>
      <w:tr w:rsidR="001F24C9" w14:paraId="6EACD2CC" w14:textId="77777777" w:rsidTr="001F24C9">
        <w:tc>
          <w:tcPr>
            <w:tcW w:w="3969" w:type="dxa"/>
          </w:tcPr>
          <w:p w14:paraId="2A17108A" w14:textId="77777777" w:rsidR="001F24C9" w:rsidRDefault="00000000">
            <w:pPr>
              <w:pStyle w:val="SDSTableTextNormal"/>
            </w:pPr>
            <w:proofErr w:type="spellStart"/>
            <w:r>
              <w:t>Persistance</w:t>
            </w:r>
            <w:proofErr w:type="spellEnd"/>
            <w:r>
              <w:t xml:space="preserve"> et </w:t>
            </w:r>
            <w:proofErr w:type="spellStart"/>
            <w:r>
              <w:t>dégradabilité</w:t>
            </w:r>
            <w:proofErr w:type="spellEnd"/>
          </w:p>
        </w:tc>
        <w:tc>
          <w:tcPr>
            <w:tcW w:w="6520" w:type="dxa"/>
          </w:tcPr>
          <w:p w14:paraId="51E238E0" w14:textId="77777777" w:rsidR="001F24C9" w:rsidRDefault="00000000">
            <w:pPr>
              <w:pStyle w:val="SDSTableTextNormal"/>
              <w:rPr>
                <w:lang w:val="fr-FR"/>
              </w:rPr>
            </w:pPr>
            <w:r>
              <w:rPr>
                <w:lang w:val="fr-FR"/>
              </w:rPr>
              <w:t>Peut entraîner des effets néfastes à long terme pour l’environnement.</w:t>
            </w:r>
          </w:p>
        </w:tc>
      </w:tr>
    </w:tbl>
    <w:p w14:paraId="771FCBC0" w14:textId="77777777" w:rsidR="001F24C9" w:rsidRDefault="001F24C9">
      <w:pPr>
        <w:spacing w:before="120" w:after="120" w:line="240" w:lineRule="auto"/>
      </w:pPr>
    </w:p>
    <w:p w14:paraId="19D87778" w14:textId="77777777" w:rsidR="001F24C9" w:rsidRDefault="00000000">
      <w:pPr>
        <w:spacing w:before="120" w:after="120" w:line="240" w:lineRule="auto"/>
        <w:rPr>
          <w:lang w:val="en-GB"/>
        </w:rPr>
      </w:pPr>
      <w:r>
        <w:rPr>
          <w:lang w:val="en-GB"/>
        </w:rPr>
        <w:t xml:space="preserve">12.3. </w:t>
      </w:r>
      <w:proofErr w:type="spellStart"/>
      <w:r>
        <w:rPr>
          <w:lang w:val="en-GB"/>
        </w:rPr>
        <w:t>Potentiel</w:t>
      </w:r>
      <w:proofErr w:type="spellEnd"/>
      <w:r>
        <w:rPr>
          <w:lang w:val="en-GB"/>
        </w:rPr>
        <w:t xml:space="preserve"> de bioaccumulation</w:t>
      </w:r>
    </w:p>
    <w:tbl>
      <w:tblPr>
        <w:tblStyle w:val="SDSTableWithBordersWithHeaderRow"/>
        <w:tblW w:w="10489" w:type="dxa"/>
        <w:tblLayout w:type="fixed"/>
        <w:tblLook w:val="04A0" w:firstRow="1" w:lastRow="0" w:firstColumn="1" w:lastColumn="0" w:noHBand="0" w:noVBand="1"/>
      </w:tblPr>
      <w:tblGrid>
        <w:gridCol w:w="3969"/>
        <w:gridCol w:w="6520"/>
      </w:tblGrid>
      <w:tr w:rsidR="001F24C9" w14:paraId="67898000" w14:textId="77777777" w:rsidTr="001F24C9">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206BEDAB" w14:textId="77777777" w:rsidR="001F24C9" w:rsidRDefault="00000000">
            <w:pPr>
              <w:pStyle w:val="SDSTableTextHeading1"/>
            </w:pPr>
            <w:r>
              <w:t>DAMACENONE (23696-85-7)</w:t>
            </w:r>
          </w:p>
        </w:tc>
      </w:tr>
      <w:tr w:rsidR="001F24C9" w14:paraId="3D04071B" w14:textId="77777777" w:rsidTr="001F24C9">
        <w:tc>
          <w:tcPr>
            <w:tcW w:w="3969" w:type="dxa"/>
          </w:tcPr>
          <w:p w14:paraId="210079C3" w14:textId="77777777" w:rsidR="001F24C9" w:rsidRDefault="00000000">
            <w:pPr>
              <w:pStyle w:val="SDSTableTextNormal"/>
            </w:pPr>
            <w:proofErr w:type="spellStart"/>
            <w:r>
              <w:t>Potentiel</w:t>
            </w:r>
            <w:proofErr w:type="spellEnd"/>
            <w:r>
              <w:t xml:space="preserve"> de bioaccumulation</w:t>
            </w:r>
          </w:p>
        </w:tc>
        <w:tc>
          <w:tcPr>
            <w:tcW w:w="6520" w:type="dxa"/>
          </w:tcPr>
          <w:p w14:paraId="2A4BE7B0" w14:textId="77777777" w:rsidR="001F24C9" w:rsidRDefault="00000000">
            <w:pPr>
              <w:pStyle w:val="SDSTableTextNormal"/>
            </w:pPr>
            <w:r>
              <w:t xml:space="preserve">Non </w:t>
            </w:r>
            <w:proofErr w:type="spellStart"/>
            <w:r>
              <w:t>établi</w:t>
            </w:r>
            <w:proofErr w:type="spellEnd"/>
            <w:r>
              <w:t>.</w:t>
            </w:r>
          </w:p>
        </w:tc>
      </w:tr>
    </w:tbl>
    <w:p w14:paraId="5E916B2D" w14:textId="77777777" w:rsidR="001F24C9" w:rsidRDefault="00000000">
      <w:pPr>
        <w:pStyle w:val="SDSTextHeading2"/>
        <w:rPr>
          <w:lang w:val="en-GB"/>
        </w:rPr>
      </w:pPr>
      <w:r>
        <w:rPr>
          <w:lang w:val="en-GB"/>
        </w:rPr>
        <w:t xml:space="preserve">12.4. </w:t>
      </w:r>
      <w:proofErr w:type="spellStart"/>
      <w:r>
        <w:rPr>
          <w:lang w:val="en-GB"/>
        </w:rPr>
        <w:t>Mobilité</w:t>
      </w:r>
      <w:proofErr w:type="spellEnd"/>
      <w:r>
        <w:rPr>
          <w:lang w:val="en-GB"/>
        </w:rPr>
        <w:t xml:space="preserve"> dans le sol</w:t>
      </w:r>
    </w:p>
    <w:p w14:paraId="0BC98B6C" w14:textId="77777777" w:rsidR="001F24C9" w:rsidRDefault="00000000">
      <w:pPr>
        <w:pStyle w:val="SDSTextNormal"/>
      </w:pPr>
      <w:r>
        <w:t xml:space="preserve">Pas </w:t>
      </w:r>
      <w:proofErr w:type="spellStart"/>
      <w:r>
        <w:t>d’informations</w:t>
      </w:r>
      <w:proofErr w:type="spellEnd"/>
      <w:r>
        <w:t xml:space="preserve"> </w:t>
      </w:r>
      <w:proofErr w:type="spellStart"/>
      <w:r>
        <w:t>complémentaires</w:t>
      </w:r>
      <w:proofErr w:type="spellEnd"/>
      <w:r>
        <w:t xml:space="preserve"> </w:t>
      </w:r>
      <w:proofErr w:type="spellStart"/>
      <w:r>
        <w:t>disponibles</w:t>
      </w:r>
      <w:proofErr w:type="spellEnd"/>
    </w:p>
    <w:p w14:paraId="4DF65B31" w14:textId="77777777" w:rsidR="001F24C9" w:rsidRDefault="00000000">
      <w:pPr>
        <w:pStyle w:val="SDSTextHeading2"/>
        <w:rPr>
          <w:lang w:val="fr-FR"/>
        </w:rPr>
      </w:pPr>
      <w:r>
        <w:rPr>
          <w:lang w:val="fr-FR"/>
        </w:rPr>
        <w:t xml:space="preserve">12.5. Résultats des évaluations PBT et </w:t>
      </w:r>
      <w:proofErr w:type="spellStart"/>
      <w:r>
        <w:rPr>
          <w:lang w:val="fr-FR"/>
        </w:rPr>
        <w:t>vPvB</w:t>
      </w:r>
      <w:proofErr w:type="spellEnd"/>
    </w:p>
    <w:p w14:paraId="7F154009" w14:textId="77777777" w:rsidR="001F24C9" w:rsidRDefault="00000000">
      <w:pPr>
        <w:pStyle w:val="SDSTextNormal"/>
        <w:rPr>
          <w:lang w:val="fr-FR"/>
        </w:rPr>
      </w:pPr>
      <w:r>
        <w:rPr>
          <w:lang w:val="fr-FR"/>
        </w:rPr>
        <w:t>Pas d’informations complémentaires disponibles</w:t>
      </w:r>
    </w:p>
    <w:p w14:paraId="6D46A648" w14:textId="77777777" w:rsidR="001F24C9" w:rsidRDefault="00000000">
      <w:pPr>
        <w:pStyle w:val="SDSTextHeading2"/>
        <w:rPr>
          <w:lang w:val="fr-FR"/>
        </w:rPr>
      </w:pPr>
      <w:r>
        <w:rPr>
          <w:lang w:val="fr-FR"/>
        </w:rPr>
        <w:t>12.6. Propriétés perturbant le système endocrinien</w:t>
      </w:r>
    </w:p>
    <w:p w14:paraId="4A6612AA" w14:textId="77777777" w:rsidR="001F24C9" w:rsidRDefault="00000000">
      <w:pPr>
        <w:pStyle w:val="SDSTextNormal"/>
        <w:rPr>
          <w:lang w:val="fr-FR"/>
        </w:rPr>
      </w:pPr>
      <w:r>
        <w:rPr>
          <w:lang w:val="fr-FR"/>
        </w:rPr>
        <w:t>Pas d’informations complémentaires disponibles</w:t>
      </w:r>
    </w:p>
    <w:p w14:paraId="48E6DCFF" w14:textId="77777777" w:rsidR="001F24C9" w:rsidRDefault="00000000">
      <w:pPr>
        <w:pStyle w:val="SDSTextHeading2"/>
        <w:rPr>
          <w:lang w:val="fr-FR"/>
        </w:rPr>
      </w:pPr>
      <w:r>
        <w:rPr>
          <w:lang w:val="fr-FR"/>
        </w:rPr>
        <w:t>12.7. Autres effets néfastes</w:t>
      </w:r>
    </w:p>
    <w:tbl>
      <w:tblPr>
        <w:tblStyle w:val="SDSTableWithoutBorders"/>
        <w:tblW w:w="10491" w:type="dxa"/>
        <w:tblLayout w:type="fixed"/>
        <w:tblLook w:val="04A0" w:firstRow="1" w:lastRow="0" w:firstColumn="1" w:lastColumn="0" w:noHBand="0" w:noVBand="1"/>
      </w:tblPr>
      <w:tblGrid>
        <w:gridCol w:w="3685"/>
        <w:gridCol w:w="284"/>
        <w:gridCol w:w="6522"/>
      </w:tblGrid>
      <w:tr w:rsidR="001F24C9" w14:paraId="2A910CA8" w14:textId="77777777">
        <w:tc>
          <w:tcPr>
            <w:tcW w:w="3685" w:type="dxa"/>
          </w:tcPr>
          <w:p w14:paraId="5BB9094A" w14:textId="77777777" w:rsidR="001F24C9" w:rsidRDefault="00000000">
            <w:pPr>
              <w:pStyle w:val="SDSTableTextNormal"/>
            </w:pPr>
            <w:r>
              <w:t xml:space="preserve">Indications </w:t>
            </w:r>
            <w:proofErr w:type="spellStart"/>
            <w:r>
              <w:t>complémentaires</w:t>
            </w:r>
            <w:proofErr w:type="spellEnd"/>
          </w:p>
        </w:tc>
        <w:tc>
          <w:tcPr>
            <w:tcW w:w="284" w:type="dxa"/>
          </w:tcPr>
          <w:p w14:paraId="64A62FE0" w14:textId="77777777" w:rsidR="001F24C9" w:rsidRDefault="00000000">
            <w:pPr>
              <w:pStyle w:val="SDSTableTextColonColumn"/>
            </w:pPr>
            <w:r>
              <w:t>:</w:t>
            </w:r>
          </w:p>
        </w:tc>
        <w:tc>
          <w:tcPr>
            <w:tcW w:w="6522" w:type="dxa"/>
          </w:tcPr>
          <w:p w14:paraId="568795F7" w14:textId="77777777" w:rsidR="001F24C9" w:rsidRDefault="00000000">
            <w:pPr>
              <w:pStyle w:val="SDSTableTextNormal"/>
              <w:rPr>
                <w:lang w:val="fr-FR"/>
              </w:rPr>
            </w:pPr>
            <w:r>
              <w:rPr>
                <w:lang w:val="fr-FR"/>
              </w:rPr>
              <w:t>Éviter le rejet dans l’environnement.</w:t>
            </w:r>
            <w:bookmarkStart w:id="0" w:name="_Hlk54090163"/>
            <w:bookmarkEnd w:id="0"/>
          </w:p>
        </w:tc>
      </w:tr>
    </w:tbl>
    <w:p w14:paraId="199F6066" w14:textId="77777777" w:rsidR="001F24C9" w:rsidRDefault="001F24C9">
      <w:pPr>
        <w:spacing w:before="120" w:after="120" w:line="240" w:lineRule="auto"/>
      </w:pPr>
    </w:p>
    <w:p w14:paraId="1241FAF4" w14:textId="77777777" w:rsidR="001F24C9" w:rsidRDefault="001F24C9">
      <w:pPr>
        <w:spacing w:before="120" w:after="120" w:line="240" w:lineRule="auto"/>
      </w:pPr>
    </w:p>
    <w:p w14:paraId="08452A93" w14:textId="77777777" w:rsidR="001F24C9" w:rsidRDefault="00000000">
      <w:pPr>
        <w:shd w:val="clear" w:color="auto" w:fill="8EAADB" w:themeFill="accent1" w:themeFillTint="99"/>
        <w:spacing w:before="120" w:after="120" w:line="240" w:lineRule="auto"/>
        <w:rPr>
          <w:rFonts w:cs="Calibri"/>
          <w:sz w:val="28"/>
          <w:szCs w:val="28"/>
        </w:rPr>
      </w:pPr>
      <w:r>
        <w:rPr>
          <w:rFonts w:cs="Calibri"/>
          <w:sz w:val="28"/>
          <w:szCs w:val="28"/>
        </w:rPr>
        <w:t>RUBRIQUE 13 : Considérations relatives à l’élimination</w:t>
      </w:r>
    </w:p>
    <w:p w14:paraId="607F0B43"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13.1. Méthodes de traitement des déchets</w:t>
      </w:r>
    </w:p>
    <w:p w14:paraId="04DFFC95" w14:textId="77777777" w:rsidR="001F24C9" w:rsidRDefault="00000000">
      <w:pPr>
        <w:spacing w:before="120" w:after="120" w:line="240" w:lineRule="auto"/>
        <w:rPr>
          <w:rFonts w:cs="Calibri"/>
          <w:sz w:val="20"/>
          <w:szCs w:val="20"/>
        </w:rPr>
      </w:pPr>
      <w:r>
        <w:t>Méthodes de traitement des déchets : Eliminer le contenu/récipient conformément aux consignes de tri du collecteur agréé.</w:t>
      </w:r>
    </w:p>
    <w:p w14:paraId="1FE9A18B" w14:textId="77777777" w:rsidR="001F24C9" w:rsidRDefault="00000000">
      <w:pPr>
        <w:shd w:val="clear" w:color="auto" w:fill="8EAADB" w:themeFill="accent1" w:themeFillTint="99"/>
        <w:spacing w:before="120" w:after="120" w:line="240" w:lineRule="auto"/>
        <w:rPr>
          <w:rFonts w:cs="Calibri"/>
          <w:sz w:val="28"/>
          <w:szCs w:val="28"/>
        </w:rPr>
      </w:pPr>
      <w:r>
        <w:rPr>
          <w:rFonts w:cs="Calibri"/>
          <w:sz w:val="28"/>
          <w:szCs w:val="28"/>
        </w:rPr>
        <w:t>RUBRIQUE 14 : Informations relatives au transport</w:t>
      </w:r>
    </w:p>
    <w:p w14:paraId="60E71AED"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14.1. Numéro ONU</w:t>
      </w:r>
    </w:p>
    <w:p w14:paraId="1D00D03D" w14:textId="77777777" w:rsidR="001F24C9" w:rsidRDefault="00000000">
      <w:pPr>
        <w:spacing w:before="120" w:after="120" w:line="240" w:lineRule="auto"/>
        <w:rPr>
          <w:rFonts w:cs="Calibri"/>
        </w:rPr>
      </w:pPr>
      <w:r>
        <w:rPr>
          <w:rFonts w:cs="Calibri"/>
        </w:rPr>
        <w:t>Non règlementé</w:t>
      </w:r>
    </w:p>
    <w:p w14:paraId="43417B58"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14.2. Nom d’expédition des Nations unies</w:t>
      </w:r>
    </w:p>
    <w:p w14:paraId="4225A7E0" w14:textId="77777777" w:rsidR="001F24C9" w:rsidRDefault="00000000">
      <w:pPr>
        <w:spacing w:before="120" w:after="120" w:line="240" w:lineRule="auto"/>
        <w:rPr>
          <w:rFonts w:cs="Calibri"/>
        </w:rPr>
      </w:pPr>
      <w:r>
        <w:rPr>
          <w:rFonts w:cs="Calibri"/>
        </w:rPr>
        <w:t>Non règlementé</w:t>
      </w:r>
    </w:p>
    <w:p w14:paraId="39A60C19"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14.3. Classe(s) de danger pour le transport</w:t>
      </w:r>
    </w:p>
    <w:p w14:paraId="322AFF1D" w14:textId="77777777" w:rsidR="001F24C9" w:rsidRDefault="00000000">
      <w:pPr>
        <w:spacing w:before="120" w:after="120" w:line="240" w:lineRule="auto"/>
        <w:rPr>
          <w:rFonts w:cs="Calibri"/>
        </w:rPr>
      </w:pPr>
      <w:r>
        <w:rPr>
          <w:rFonts w:cs="Calibri"/>
        </w:rPr>
        <w:t>Non règlementé</w:t>
      </w:r>
    </w:p>
    <w:p w14:paraId="3689C1D2"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14.4. Groupe d’emballage</w:t>
      </w:r>
    </w:p>
    <w:p w14:paraId="5DDD574D" w14:textId="77777777" w:rsidR="001F24C9" w:rsidRDefault="00000000">
      <w:pPr>
        <w:spacing w:before="120" w:after="120" w:line="240" w:lineRule="auto"/>
        <w:rPr>
          <w:rFonts w:cs="Calibri"/>
        </w:rPr>
      </w:pPr>
      <w:r>
        <w:rPr>
          <w:rFonts w:cs="Calibri"/>
        </w:rPr>
        <w:t>Non règlementé</w:t>
      </w:r>
    </w:p>
    <w:p w14:paraId="0F6AFFCA"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14.5. Dangers pour l’environnement</w:t>
      </w:r>
    </w:p>
    <w:p w14:paraId="16E3A18E" w14:textId="77777777" w:rsidR="001F24C9" w:rsidRDefault="00000000">
      <w:pPr>
        <w:spacing w:before="120" w:after="120" w:line="240" w:lineRule="auto"/>
        <w:rPr>
          <w:rFonts w:cs="Calibri"/>
        </w:rPr>
      </w:pPr>
      <w:r>
        <w:rPr>
          <w:rFonts w:cs="Calibri"/>
        </w:rPr>
        <w:t>Non règlementé</w:t>
      </w:r>
    </w:p>
    <w:p w14:paraId="35B98EC4"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14.6. Précautions particulières à prendre par l’utilisateur</w:t>
      </w:r>
    </w:p>
    <w:p w14:paraId="2AA6C84D" w14:textId="77777777" w:rsidR="001F24C9" w:rsidRDefault="00000000">
      <w:pPr>
        <w:spacing w:before="120" w:after="120" w:line="240" w:lineRule="auto"/>
        <w:rPr>
          <w:rFonts w:cs="Calibri"/>
        </w:rPr>
      </w:pPr>
      <w:r>
        <w:rPr>
          <w:rFonts w:cs="Calibri"/>
        </w:rPr>
        <w:t>Non règlementé</w:t>
      </w:r>
    </w:p>
    <w:p w14:paraId="5B5EF64E"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14.7. Transport en vrac conformément à l’annexe II de la convention MARPOL 73/78 et au recueil IBC</w:t>
      </w:r>
    </w:p>
    <w:p w14:paraId="651C0159" w14:textId="77777777" w:rsidR="001F24C9" w:rsidRDefault="00000000">
      <w:pPr>
        <w:spacing w:before="120" w:after="120" w:line="240" w:lineRule="auto"/>
        <w:rPr>
          <w:rFonts w:cs="Calibri"/>
        </w:rPr>
      </w:pPr>
      <w:r>
        <w:rPr>
          <w:rFonts w:cs="Calibri"/>
        </w:rPr>
        <w:t>Non règlementé</w:t>
      </w:r>
    </w:p>
    <w:p w14:paraId="7E6CAC90" w14:textId="77777777" w:rsidR="001F24C9" w:rsidRDefault="00000000">
      <w:pPr>
        <w:shd w:val="clear" w:color="auto" w:fill="8EAADB" w:themeFill="accent1" w:themeFillTint="99"/>
        <w:spacing w:before="120" w:after="120" w:line="240" w:lineRule="auto"/>
        <w:rPr>
          <w:rFonts w:cs="Calibri"/>
          <w:sz w:val="28"/>
          <w:szCs w:val="28"/>
        </w:rPr>
      </w:pPr>
      <w:r>
        <w:rPr>
          <w:rFonts w:cs="Calibri"/>
          <w:sz w:val="28"/>
          <w:szCs w:val="28"/>
        </w:rPr>
        <w:t>RUBRIQUE 15 : Informations réglementaires</w:t>
      </w:r>
    </w:p>
    <w:p w14:paraId="2A250C78"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15.1. Réglementations/Législation particulières à la substance ou au mélange en matière de sécurité, de santé et d’environnement</w:t>
      </w:r>
    </w:p>
    <w:p w14:paraId="6A5C30AE" w14:textId="77777777" w:rsidR="001F24C9" w:rsidRDefault="00000000">
      <w:pPr>
        <w:spacing w:before="120" w:after="120" w:line="240" w:lineRule="auto"/>
      </w:pPr>
      <w:r>
        <w:t xml:space="preserve">Annexe XVII de REACH (Liste de restriction) </w:t>
      </w:r>
    </w:p>
    <w:p w14:paraId="6DC48249" w14:textId="77777777" w:rsidR="001F24C9" w:rsidRDefault="00000000">
      <w:pPr>
        <w:spacing w:before="120" w:after="120" w:line="240" w:lineRule="auto"/>
      </w:pPr>
      <w:r>
        <w:t xml:space="preserve">Ne contient pas de substance(s) listée(s) dans l’Annexe XVII de REACH (Conditions de restriction) </w:t>
      </w:r>
    </w:p>
    <w:p w14:paraId="26C72D1F" w14:textId="77777777" w:rsidR="001F24C9" w:rsidRDefault="00000000">
      <w:pPr>
        <w:spacing w:before="120" w:after="120" w:line="240" w:lineRule="auto"/>
      </w:pPr>
      <w:r>
        <w:t xml:space="preserve">Annexe XIV de REACH (Liste d’autorisation) </w:t>
      </w:r>
    </w:p>
    <w:p w14:paraId="421AC8D1" w14:textId="77777777" w:rsidR="001F24C9" w:rsidRDefault="00000000">
      <w:pPr>
        <w:spacing w:before="120" w:after="120" w:line="240" w:lineRule="auto"/>
      </w:pPr>
      <w:r>
        <w:t xml:space="preserve">Ne contient pas de substance(s) listée(s) dans l’annexe XIV de REACH (Liste d’autorisation) </w:t>
      </w:r>
    </w:p>
    <w:p w14:paraId="1896C981" w14:textId="77777777" w:rsidR="001F24C9" w:rsidRDefault="00000000">
      <w:pPr>
        <w:spacing w:before="120" w:after="120" w:line="240" w:lineRule="auto"/>
      </w:pPr>
      <w:r>
        <w:t xml:space="preserve">Liste candidate REACH (SVHC) </w:t>
      </w:r>
    </w:p>
    <w:p w14:paraId="6BBD0997" w14:textId="77777777" w:rsidR="001F24C9" w:rsidRDefault="00000000">
      <w:pPr>
        <w:spacing w:before="120" w:after="120" w:line="240" w:lineRule="auto"/>
      </w:pPr>
      <w:r>
        <w:t xml:space="preserve">Ne contient pas de substance(s) listée(s) dans la liste des substances candidates de REACH </w:t>
      </w:r>
    </w:p>
    <w:p w14:paraId="4E25DABE" w14:textId="77777777" w:rsidR="001F24C9" w:rsidRDefault="00000000">
      <w:pPr>
        <w:spacing w:before="120" w:after="120" w:line="240" w:lineRule="auto"/>
      </w:pPr>
      <w:r>
        <w:t xml:space="preserve">Règlement PIC (UE 649/2012, consentement préalable en connaissance de cause) </w:t>
      </w:r>
    </w:p>
    <w:p w14:paraId="1D4592A7" w14:textId="77777777" w:rsidR="001F24C9" w:rsidRDefault="00000000">
      <w:pPr>
        <w:spacing w:before="120" w:after="120" w:line="240" w:lineRule="auto"/>
      </w:pPr>
      <w:r>
        <w:t xml:space="preserve">Ne contient pas de substance(s) listée(s) dans la liste PIC (Règlement UE 649/2012 concernant les exportations et importations de produits chimiques dangereux) </w:t>
      </w:r>
    </w:p>
    <w:p w14:paraId="1117CC2A" w14:textId="77777777" w:rsidR="001F24C9" w:rsidRDefault="00000000">
      <w:pPr>
        <w:spacing w:before="120" w:after="120" w:line="240" w:lineRule="auto"/>
      </w:pPr>
      <w:r>
        <w:t xml:space="preserve">Règlement POP (UE 2019/1021, polluants organiques persistants) </w:t>
      </w:r>
    </w:p>
    <w:p w14:paraId="59002346" w14:textId="77777777" w:rsidR="001F24C9" w:rsidRDefault="00000000">
      <w:pPr>
        <w:spacing w:before="120" w:after="120" w:line="240" w:lineRule="auto"/>
      </w:pPr>
      <w:r>
        <w:lastRenderedPageBreak/>
        <w:t xml:space="preserve">Ne contient pas de substance(s) listée(s) dans la liste des POP (règlement UE 2019/1021 sur les polluants organiques persistants) </w:t>
      </w:r>
    </w:p>
    <w:p w14:paraId="75562139" w14:textId="77777777" w:rsidR="001F24C9" w:rsidRDefault="00000000">
      <w:pPr>
        <w:spacing w:before="120" w:after="120" w:line="240" w:lineRule="auto"/>
      </w:pPr>
      <w:r>
        <w:t xml:space="preserve">Règlement sur l’appauvrissement de la couche d’ozone (UE 1005/2009) </w:t>
      </w:r>
    </w:p>
    <w:p w14:paraId="04457E06" w14:textId="77777777" w:rsidR="001F24C9" w:rsidRDefault="00000000">
      <w:pPr>
        <w:spacing w:before="120" w:after="120" w:line="240" w:lineRule="auto"/>
      </w:pPr>
      <w:r>
        <w:t xml:space="preserve">Ne contient aucune substance listée dans la liste des substances appauvrissant la couche d’ozone (Règlement (CE) n° 1005/2009 relatif à des substances appauvrissant la couche d’ozone) </w:t>
      </w:r>
    </w:p>
    <w:p w14:paraId="79005876" w14:textId="77777777" w:rsidR="001F24C9" w:rsidRDefault="00000000">
      <w:pPr>
        <w:spacing w:before="120" w:after="120" w:line="240" w:lineRule="auto"/>
      </w:pPr>
      <w:r>
        <w:t xml:space="preserve">Règlement sur les précurseurs d’explosifs (UE 2019/1148) </w:t>
      </w:r>
    </w:p>
    <w:p w14:paraId="1D4E8E1F" w14:textId="77777777" w:rsidR="001F24C9" w:rsidRDefault="00000000">
      <w:pPr>
        <w:spacing w:before="120" w:after="120" w:line="240" w:lineRule="auto"/>
      </w:pPr>
      <w:r>
        <w:t xml:space="preserve">Ne contient pas de substance(s) listée(s) dans la liste des précurseurs d’explosifs (Règlement UE 2019/1148 relatif à la commercialisation et à l’utilisation des précurseurs d’explosifs) </w:t>
      </w:r>
    </w:p>
    <w:p w14:paraId="69AEFA6D" w14:textId="77777777" w:rsidR="001F24C9" w:rsidRDefault="00000000">
      <w:pPr>
        <w:spacing w:before="120" w:after="120" w:line="240" w:lineRule="auto"/>
      </w:pPr>
      <w:r>
        <w:t xml:space="preserve">Règlement sur les précurseurs de drogues (CE 273/2004) </w:t>
      </w:r>
    </w:p>
    <w:p w14:paraId="78CA0627" w14:textId="77777777" w:rsidR="001F24C9" w:rsidRDefault="00000000">
      <w:pPr>
        <w:spacing w:before="120" w:after="120" w:line="240" w:lineRule="auto"/>
        <w:rPr>
          <w:rFonts w:cs="Calibri"/>
          <w:sz w:val="20"/>
          <w:szCs w:val="20"/>
        </w:rPr>
      </w:pPr>
      <w: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p w14:paraId="795B0F35" w14:textId="77777777" w:rsidR="001F24C9" w:rsidRDefault="00000000">
      <w:pPr>
        <w:pBdr>
          <w:bottom w:val="single" w:sz="4" w:space="1" w:color="000000"/>
        </w:pBdr>
        <w:spacing w:before="120" w:after="120" w:line="240" w:lineRule="auto"/>
        <w:rPr>
          <w:rFonts w:cs="Calibri"/>
          <w:b/>
          <w:bCs/>
          <w:sz w:val="24"/>
          <w:szCs w:val="24"/>
        </w:rPr>
      </w:pPr>
      <w:r>
        <w:rPr>
          <w:rFonts w:cs="Calibri"/>
          <w:b/>
          <w:bCs/>
          <w:sz w:val="24"/>
          <w:szCs w:val="24"/>
        </w:rPr>
        <w:t>15.2. Évaluation de la sécurité chimique</w:t>
      </w:r>
    </w:p>
    <w:p w14:paraId="35636D00" w14:textId="77777777" w:rsidR="001F24C9" w:rsidRDefault="00000000">
      <w:pPr>
        <w:spacing w:before="120" w:after="120" w:line="240" w:lineRule="auto"/>
        <w:rPr>
          <w:rFonts w:cs="Calibri"/>
          <w:sz w:val="20"/>
          <w:szCs w:val="20"/>
        </w:rPr>
      </w:pPr>
      <w:r>
        <w:t>Pas d’informations complémentaires disponibles</w:t>
      </w:r>
    </w:p>
    <w:p w14:paraId="42595F82" w14:textId="77777777" w:rsidR="001F24C9" w:rsidRDefault="00000000">
      <w:pPr>
        <w:shd w:val="clear" w:color="auto" w:fill="8EAADB" w:themeFill="accent1" w:themeFillTint="99"/>
        <w:spacing w:before="120" w:after="120" w:line="240" w:lineRule="auto"/>
        <w:rPr>
          <w:rFonts w:cs="Calibri"/>
          <w:sz w:val="28"/>
          <w:szCs w:val="28"/>
        </w:rPr>
      </w:pPr>
      <w:r>
        <w:rPr>
          <w:rFonts w:cs="Calibri"/>
          <w:sz w:val="28"/>
          <w:szCs w:val="28"/>
        </w:rPr>
        <w:t>RUBRIQUE 16 : Autres informations</w:t>
      </w:r>
    </w:p>
    <w:p w14:paraId="79B1D524" w14:textId="77777777" w:rsidR="001F24C9" w:rsidRDefault="001F24C9">
      <w:pPr>
        <w:spacing w:before="120" w:after="120" w:line="240" w:lineRule="auto"/>
        <w:rPr>
          <w:rFonts w:cs="Calibri"/>
          <w:sz w:val="24"/>
          <w:szCs w:val="24"/>
        </w:rPr>
      </w:pPr>
    </w:p>
    <w:p w14:paraId="364ABAE4" w14:textId="77777777" w:rsidR="001F24C9" w:rsidRDefault="00000000">
      <w:pPr>
        <w:pStyle w:val="Paragraphedeliste"/>
        <w:numPr>
          <w:ilvl w:val="0"/>
          <w:numId w:val="1"/>
        </w:numPr>
        <w:spacing w:before="120" w:after="120" w:line="240" w:lineRule="auto"/>
        <w:rPr>
          <w:rFonts w:cs="Calibri"/>
        </w:rPr>
      </w:pPr>
      <w:r>
        <w:rPr>
          <w:rFonts w:cs="Calibri"/>
        </w:rPr>
        <w:t>Classement du mélange selon CLP déterminé en fonction des données relatives aux composants du mélange.</w:t>
      </w:r>
    </w:p>
    <w:p w14:paraId="6BF09D8F" w14:textId="77777777" w:rsidR="001F24C9" w:rsidRDefault="00000000">
      <w:pPr>
        <w:pStyle w:val="Paragraphedeliste"/>
        <w:numPr>
          <w:ilvl w:val="0"/>
          <w:numId w:val="1"/>
        </w:numPr>
        <w:spacing w:before="120" w:after="120" w:line="240" w:lineRule="auto"/>
        <w:rPr>
          <w:rFonts w:cs="Calibri"/>
        </w:rPr>
      </w:pPr>
      <w:r>
        <w:rPr>
          <w:rFonts w:cs="Calibri"/>
        </w:rPr>
        <w:t>En raison de sa forme solide, de son insolubilité et de sa faible dégradabilité, le produit ne présente aucun risque d'écoulement accidentel ou d'ingestion</w:t>
      </w:r>
      <w:r>
        <w:rPr>
          <w:rFonts w:ascii="Segoe UI" w:hAnsi="Segoe UI" w:cs="Segoe UI"/>
          <w:color w:val="374151"/>
          <w:shd w:val="clear" w:color="auto" w:fill="F7F7F8"/>
        </w:rPr>
        <w:t>.</w:t>
      </w:r>
    </w:p>
    <w:sectPr w:rsidR="001F24C9">
      <w:headerReference w:type="even" r:id="rId8"/>
      <w:headerReference w:type="default" r:id="rId9"/>
      <w:footerReference w:type="even" r:id="rId10"/>
      <w:footerReference w:type="default" r:id="rId11"/>
      <w:headerReference w:type="first" r:id="rId12"/>
      <w:footerReference w:type="first" r:id="rId13"/>
      <w:pgSz w:w="11906" w:h="16838"/>
      <w:pgMar w:top="765" w:right="720" w:bottom="765" w:left="709" w:header="708" w:footer="708"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7C2E8" w14:textId="77777777" w:rsidR="00573347" w:rsidRDefault="00573347">
      <w:pPr>
        <w:spacing w:after="0" w:line="240" w:lineRule="auto"/>
      </w:pPr>
      <w:r>
        <w:separator/>
      </w:r>
    </w:p>
  </w:endnote>
  <w:endnote w:type="continuationSeparator" w:id="0">
    <w:p w14:paraId="747E3830" w14:textId="77777777" w:rsidR="00573347" w:rsidRDefault="00573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charset w:val="00"/>
    <w:family w:val="swiss"/>
    <w:pitch w:val="variable"/>
  </w:font>
  <w:font w:name="Liberation Sans">
    <w:altName w:val="Arial"/>
    <w:panose1 w:val="020B0604020202020204"/>
    <w:charset w:val="00"/>
    <w:family w:val="swiss"/>
    <w:pitch w:val="variable"/>
  </w:font>
  <w:font w:name="Microsoft YaHei">
    <w:panose1 w:val="020B0503020204020204"/>
    <w:charset w:val="00"/>
    <w:family w:val="roman"/>
    <w:notTrueType/>
    <w:pitch w:val="default"/>
  </w:font>
  <w:font w:name="Lucida Sans">
    <w:panose1 w:val="020B0602030504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1428F" w14:textId="77777777" w:rsidR="001F24C9" w:rsidRDefault="001F24C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4C181" w14:textId="77777777" w:rsidR="001F24C9" w:rsidRDefault="00000000">
    <w:pPr>
      <w:pStyle w:val="Pieddepage"/>
      <w:jc w:val="right"/>
    </w:pPr>
    <w:r>
      <w:rPr>
        <w:rFonts w:ascii="Arial" w:hAnsi="Arial" w:cs="Arial"/>
        <w:sz w:val="16"/>
        <w:szCs w:val="16"/>
      </w:rPr>
      <w:t xml:space="preserve">Page </w:t>
    </w: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8</w:t>
    </w:r>
    <w:r>
      <w:rPr>
        <w:rFonts w:ascii="Arial" w:hAnsi="Arial" w:cs="Arial"/>
        <w:b/>
        <w:bCs/>
        <w:sz w:val="16"/>
        <w:szCs w:val="16"/>
      </w:rPr>
      <w:fldChar w:fldCharType="end"/>
    </w:r>
    <w:r>
      <w:rPr>
        <w:rFonts w:ascii="Arial" w:hAnsi="Arial" w:cs="Arial"/>
        <w:sz w:val="16"/>
        <w:szCs w:val="16"/>
      </w:rPr>
      <w:t xml:space="preserve"> sur </w:t>
    </w:r>
    <w:r>
      <w:rPr>
        <w:rFonts w:ascii="Arial" w:hAnsi="Arial" w:cs="Arial"/>
        <w:b/>
        <w:bCs/>
        <w:sz w:val="16"/>
        <w:szCs w:val="16"/>
      </w:rPr>
      <w:fldChar w:fldCharType="begin"/>
    </w:r>
    <w:r>
      <w:rPr>
        <w:rFonts w:ascii="Arial" w:hAnsi="Arial" w:cs="Arial"/>
        <w:b/>
        <w:bCs/>
        <w:sz w:val="16"/>
        <w:szCs w:val="16"/>
      </w:rPr>
      <w:instrText xml:space="preserve"> NUMPAGES </w:instrText>
    </w:r>
    <w:r>
      <w:rPr>
        <w:rFonts w:ascii="Arial" w:hAnsi="Arial" w:cs="Arial"/>
        <w:b/>
        <w:bCs/>
        <w:sz w:val="16"/>
        <w:szCs w:val="16"/>
      </w:rPr>
      <w:fldChar w:fldCharType="separate"/>
    </w:r>
    <w:r>
      <w:rPr>
        <w:rFonts w:ascii="Arial" w:hAnsi="Arial" w:cs="Arial"/>
        <w:b/>
        <w:bCs/>
        <w:sz w:val="16"/>
        <w:szCs w:val="16"/>
      </w:rPr>
      <w:t>8</w:t>
    </w:r>
    <w:r>
      <w:rPr>
        <w:rFonts w:ascii="Arial" w:hAnsi="Arial" w:cs="Arial"/>
        <w:b/>
        <w:bC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76036" w14:textId="77777777" w:rsidR="001F24C9" w:rsidRDefault="00000000">
    <w:pPr>
      <w:pStyle w:val="Pieddepage"/>
      <w:jc w:val="right"/>
    </w:pPr>
    <w:r>
      <w:rPr>
        <w:rFonts w:ascii="Arial" w:hAnsi="Arial" w:cs="Arial"/>
        <w:sz w:val="16"/>
        <w:szCs w:val="16"/>
      </w:rPr>
      <w:t xml:space="preserve">Page </w:t>
    </w: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8</w:t>
    </w:r>
    <w:r>
      <w:rPr>
        <w:rFonts w:ascii="Arial" w:hAnsi="Arial" w:cs="Arial"/>
        <w:b/>
        <w:bCs/>
        <w:sz w:val="16"/>
        <w:szCs w:val="16"/>
      </w:rPr>
      <w:fldChar w:fldCharType="end"/>
    </w:r>
    <w:r>
      <w:rPr>
        <w:rFonts w:ascii="Arial" w:hAnsi="Arial" w:cs="Arial"/>
        <w:sz w:val="16"/>
        <w:szCs w:val="16"/>
      </w:rPr>
      <w:t xml:space="preserve"> sur </w:t>
    </w:r>
    <w:r>
      <w:rPr>
        <w:rFonts w:ascii="Arial" w:hAnsi="Arial" w:cs="Arial"/>
        <w:b/>
        <w:bCs/>
        <w:sz w:val="16"/>
        <w:szCs w:val="16"/>
      </w:rPr>
      <w:fldChar w:fldCharType="begin"/>
    </w:r>
    <w:r>
      <w:rPr>
        <w:rFonts w:ascii="Arial" w:hAnsi="Arial" w:cs="Arial"/>
        <w:b/>
        <w:bCs/>
        <w:sz w:val="16"/>
        <w:szCs w:val="16"/>
      </w:rPr>
      <w:instrText xml:space="preserve"> NUMPAGES </w:instrText>
    </w:r>
    <w:r>
      <w:rPr>
        <w:rFonts w:ascii="Arial" w:hAnsi="Arial" w:cs="Arial"/>
        <w:b/>
        <w:bCs/>
        <w:sz w:val="16"/>
        <w:szCs w:val="16"/>
      </w:rPr>
      <w:fldChar w:fldCharType="separate"/>
    </w:r>
    <w:r>
      <w:rPr>
        <w:rFonts w:ascii="Arial" w:hAnsi="Arial" w:cs="Arial"/>
        <w:b/>
        <w:bCs/>
        <w:sz w:val="16"/>
        <w:szCs w:val="16"/>
      </w:rPr>
      <w:t>8</w:t>
    </w:r>
    <w:r>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F33F5" w14:textId="77777777" w:rsidR="00573347" w:rsidRDefault="00573347">
      <w:pPr>
        <w:spacing w:after="0" w:line="240" w:lineRule="auto"/>
      </w:pPr>
      <w:r>
        <w:separator/>
      </w:r>
    </w:p>
  </w:footnote>
  <w:footnote w:type="continuationSeparator" w:id="0">
    <w:p w14:paraId="06FD4A0A" w14:textId="77777777" w:rsidR="00573347" w:rsidRDefault="005733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B3021" w14:textId="77777777" w:rsidR="001F24C9" w:rsidRDefault="001F24C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4509C" w14:textId="77777777" w:rsidR="001F24C9" w:rsidRDefault="00000000">
    <w:pPr>
      <w:shd w:val="clear" w:color="auto" w:fill="2F5496" w:themeFill="accent1" w:themeFillShade="BF"/>
      <w:jc w:val="center"/>
      <w:rPr>
        <w:b/>
        <w:bCs/>
        <w:color w:val="FFFFFF"/>
        <w:sz w:val="36"/>
        <w:szCs w:val="36"/>
      </w:rPr>
    </w:pPr>
    <w:r>
      <w:rPr>
        <w:b/>
        <w:bCs/>
        <w:color w:val="FFFFFF"/>
        <w:sz w:val="36"/>
        <w:szCs w:val="36"/>
      </w:rPr>
      <w:t>FICHE DE DONNEES DE SECURITE</w:t>
    </w:r>
  </w:p>
  <w:p w14:paraId="05756018" w14:textId="77777777" w:rsidR="001F24C9" w:rsidRDefault="00000000">
    <w:pPr>
      <w:jc w:val="center"/>
      <w:rPr>
        <w:sz w:val="18"/>
        <w:szCs w:val="18"/>
      </w:rPr>
    </w:pPr>
    <w:r>
      <w:rPr>
        <w:sz w:val="18"/>
        <w:szCs w:val="18"/>
      </w:rPr>
      <w:t>Conformément au Règlement REACH (CE) No. 1907/2006 et à son annexe II Règlement (CE) No. 2020/878</w:t>
    </w:r>
    <w:r>
      <w:br/>
    </w:r>
    <w:r>
      <w:rPr>
        <w:sz w:val="18"/>
        <w:szCs w:val="18"/>
      </w:rPr>
      <w:t>Date d’émission : 18/10/2025 Date de révision : 18/10/2025 Version : 1.0</w:t>
    </w:r>
  </w:p>
  <w:p w14:paraId="02F43005" w14:textId="77777777" w:rsidR="001F24C9" w:rsidRDefault="00000000">
    <w:pPr>
      <w:jc w:val="center"/>
      <w:rPr>
        <w:b/>
        <w:bCs/>
        <w:sz w:val="32"/>
        <w:szCs w:val="32"/>
      </w:rPr>
    </w:pPr>
    <w:r>
      <w:rPr>
        <w:b/>
        <w:bCs/>
        <w:sz w:val="32"/>
        <w:szCs w:val="32"/>
      </w:rPr>
      <w:t>BOUGIE CERISE NOIRE EXPLOSIVE 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0BF89" w14:textId="77777777" w:rsidR="001F24C9" w:rsidRDefault="00000000">
    <w:pPr>
      <w:shd w:val="clear" w:color="auto" w:fill="2F5496" w:themeFill="accent1" w:themeFillShade="BF"/>
      <w:jc w:val="center"/>
      <w:rPr>
        <w:b/>
        <w:bCs/>
        <w:color w:val="FFFFFF"/>
        <w:sz w:val="36"/>
        <w:szCs w:val="36"/>
      </w:rPr>
    </w:pPr>
    <w:r>
      <w:rPr>
        <w:b/>
        <w:bCs/>
        <w:color w:val="FFFFFF"/>
        <w:sz w:val="36"/>
        <w:szCs w:val="36"/>
      </w:rPr>
      <w:t>FICHE DE DONNEES DE SECURITE</w:t>
    </w:r>
  </w:p>
  <w:p w14:paraId="7A40AC1B" w14:textId="77777777" w:rsidR="001F24C9" w:rsidRDefault="00000000">
    <w:pPr>
      <w:jc w:val="center"/>
      <w:rPr>
        <w:sz w:val="18"/>
        <w:szCs w:val="18"/>
      </w:rPr>
    </w:pPr>
    <w:r>
      <w:rPr>
        <w:sz w:val="18"/>
        <w:szCs w:val="18"/>
      </w:rPr>
      <w:t>Conformément au Règlement REACH (CE) No. 1907/2006 et à son annexe II Règlement (CE) No. 2020/878</w:t>
    </w:r>
    <w:r>
      <w:br/>
    </w:r>
    <w:r>
      <w:rPr>
        <w:sz w:val="18"/>
        <w:szCs w:val="18"/>
      </w:rPr>
      <w:t>Date d’émission : 18/10/2025 Date de révision : 18/10/2025 Version : 1.0</w:t>
    </w:r>
  </w:p>
  <w:p w14:paraId="1E1770A3" w14:textId="77777777" w:rsidR="001F24C9" w:rsidRDefault="00000000">
    <w:pPr>
      <w:jc w:val="center"/>
      <w:rPr>
        <w:b/>
        <w:bCs/>
        <w:sz w:val="32"/>
        <w:szCs w:val="32"/>
      </w:rPr>
    </w:pPr>
    <w:r>
      <w:rPr>
        <w:b/>
        <w:bCs/>
        <w:sz w:val="32"/>
        <w:szCs w:val="32"/>
      </w:rPr>
      <w:t>BOUGIE CERISE NOIRE EXPLOSIVE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D4F84"/>
    <w:multiLevelType w:val="multilevel"/>
    <w:tmpl w:val="6426613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7B17559"/>
    <w:multiLevelType w:val="multilevel"/>
    <w:tmpl w:val="FF143A50"/>
    <w:lvl w:ilvl="0">
      <w:start w:val="15"/>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2049448233">
    <w:abstractNumId w:val="1"/>
  </w:num>
  <w:num w:numId="2" w16cid:durableId="1072124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4C9"/>
    <w:rsid w:val="001F24C9"/>
    <w:rsid w:val="00573347"/>
    <w:rsid w:val="00826CA8"/>
    <w:rsid w:val="00BC10BB"/>
    <w:rsid w:val="00CD3B91"/>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9A797"/>
  <w15:docId w15:val="{C04150A7-ED7B-44CE-BF06-7B04F6BAB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FFD"/>
    <w:pPr>
      <w:spacing w:after="160" w:line="245" w:lineRule="auto"/>
      <w:textAlignment w:val="baseline"/>
    </w:pPr>
    <w:rPr>
      <w:rFonts w:ascii="Calibri" w:eastAsia="Calibri" w:hAnsi="Calibri" w:cs="Times New Roman"/>
      <w:kern w:val="0"/>
      <w14:ligatures w14:val="non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ieddepageCar">
    <w:name w:val="Pied de page Car"/>
    <w:basedOn w:val="Policepardfaut"/>
    <w:link w:val="Pieddepage"/>
    <w:qFormat/>
    <w:rsid w:val="00B84FFD"/>
    <w:rPr>
      <w:rFonts w:ascii="Calibri" w:eastAsia="Calibri" w:hAnsi="Calibri" w:cs="Times New Roman"/>
      <w:kern w:val="0"/>
      <w14:ligatures w14:val="none"/>
    </w:rPr>
  </w:style>
  <w:style w:type="character" w:customStyle="1" w:styleId="SDSTableTextNormalChar">
    <w:name w:val="SDS_TableText_Normal Char"/>
    <w:link w:val="SDSTableTextNormal"/>
    <w:uiPriority w:val="12"/>
    <w:qFormat/>
    <w:rsid w:val="00B84FFD"/>
    <w:rPr>
      <w:rFonts w:ascii="Arial" w:eastAsia="Times New Roman" w:hAnsi="Arial" w:cs="Arial"/>
      <w:kern w:val="0"/>
      <w:sz w:val="16"/>
      <w:szCs w:val="12"/>
      <w:lang w:val="en-GB" w:eastAsia="nl-NL"/>
      <w14:ligatures w14:val="none"/>
    </w:rPr>
  </w:style>
  <w:style w:type="character" w:customStyle="1" w:styleId="SDSTableTextCenteredChar">
    <w:name w:val="SDS_TableText_Centered Char"/>
    <w:link w:val="SDSTableTextCentered"/>
    <w:uiPriority w:val="16"/>
    <w:qFormat/>
    <w:rsid w:val="00B84FFD"/>
    <w:rPr>
      <w:rFonts w:ascii="Arial" w:eastAsia="Times New Roman" w:hAnsi="Arial" w:cs="Arial"/>
      <w:kern w:val="0"/>
      <w:sz w:val="16"/>
      <w:szCs w:val="12"/>
      <w:lang w:val="en-GB" w:eastAsia="nl-NL"/>
      <w14:ligatures w14:val="none"/>
    </w:rPr>
  </w:style>
  <w:style w:type="character" w:customStyle="1" w:styleId="SDSTableTextColonColumnChar">
    <w:name w:val="SDS_TableText_ColonColumn Char"/>
    <w:link w:val="SDSTableTextColonColumn"/>
    <w:uiPriority w:val="16"/>
    <w:qFormat/>
    <w:rsid w:val="00B84FFD"/>
    <w:rPr>
      <w:rFonts w:ascii="Arial" w:eastAsia="Times New Roman" w:hAnsi="Arial" w:cs="Arial"/>
      <w:kern w:val="0"/>
      <w:sz w:val="16"/>
      <w:szCs w:val="12"/>
      <w:lang w:val="en-GB" w:eastAsia="nl-NL"/>
      <w14:ligatures w14:val="none"/>
    </w:rPr>
  </w:style>
  <w:style w:type="character" w:customStyle="1" w:styleId="En-tteCar">
    <w:name w:val="En-tête Car"/>
    <w:basedOn w:val="Policepardfaut"/>
    <w:link w:val="En-tte"/>
    <w:uiPriority w:val="99"/>
    <w:qFormat/>
    <w:rsid w:val="00B45857"/>
    <w:rPr>
      <w:rFonts w:ascii="Calibri" w:eastAsia="Calibri" w:hAnsi="Calibri" w:cs="Times New Roman"/>
      <w:kern w:val="0"/>
      <w14:ligatures w14:val="none"/>
    </w:rPr>
  </w:style>
  <w:style w:type="character" w:customStyle="1" w:styleId="CorpsdetexteCar">
    <w:name w:val="Corps de texte Car"/>
    <w:basedOn w:val="Policepardfaut"/>
    <w:link w:val="Corpsdetexte"/>
    <w:uiPriority w:val="1"/>
    <w:qFormat/>
    <w:rsid w:val="00C410B2"/>
    <w:rPr>
      <w:rFonts w:ascii="Arial MT" w:eastAsia="Arial MT" w:hAnsi="Arial MT" w:cs="Arial MT"/>
      <w:kern w:val="0"/>
      <w:sz w:val="16"/>
      <w:szCs w:val="16"/>
      <w14:ligatures w14:val="none"/>
    </w:rPr>
  </w:style>
  <w:style w:type="character" w:customStyle="1" w:styleId="SDSTableTextHeading1Char">
    <w:name w:val="SDS_TableText_Heading1 Char"/>
    <w:link w:val="SDSTableTextHeading1"/>
    <w:uiPriority w:val="12"/>
    <w:qFormat/>
    <w:rsid w:val="00707D00"/>
    <w:rPr>
      <w:rFonts w:ascii="Arial" w:eastAsia="Times New Roman" w:hAnsi="Arial" w:cs="Arial"/>
      <w:b/>
      <w:color w:val="0070C0"/>
      <w:kern w:val="0"/>
      <w:sz w:val="18"/>
      <w:szCs w:val="16"/>
      <w:lang w:val="en-GB" w:eastAsia="nl-NL"/>
      <w14:ligatures w14:val="none"/>
    </w:rPr>
  </w:style>
  <w:style w:type="character" w:customStyle="1" w:styleId="SDSTextBlankLineChar">
    <w:name w:val="SDS_Text_BlankLine Char"/>
    <w:link w:val="SDSTextBlankLine"/>
    <w:uiPriority w:val="8"/>
    <w:qFormat/>
    <w:rsid w:val="00431C6F"/>
    <w:rPr>
      <w:rFonts w:ascii="Arial" w:eastAsia="Times New Roman" w:hAnsi="Arial" w:cs="Arial"/>
      <w:kern w:val="0"/>
      <w:sz w:val="2"/>
      <w:szCs w:val="16"/>
      <w:lang w:val="en-GB" w:eastAsia="nl-NL"/>
      <w14:ligatures w14:val="none"/>
    </w:rPr>
  </w:style>
  <w:style w:type="character" w:styleId="Lienhypertexte">
    <w:name w:val="Hyperlink"/>
    <w:basedOn w:val="Policepardfaut"/>
    <w:uiPriority w:val="99"/>
    <w:unhideWhenUsed/>
    <w:rsid w:val="00342203"/>
    <w:rPr>
      <w:color w:val="0563C1" w:themeColor="hyperlink"/>
      <w:u w:val="single"/>
    </w:rPr>
  </w:style>
  <w:style w:type="character" w:styleId="Mentionnonrsolue">
    <w:name w:val="Unresolved Mention"/>
    <w:basedOn w:val="Policepardfaut"/>
    <w:uiPriority w:val="99"/>
    <w:semiHidden/>
    <w:unhideWhenUsed/>
    <w:qFormat/>
    <w:rsid w:val="00342203"/>
    <w:rPr>
      <w:color w:val="605E5C"/>
      <w:shd w:val="clear" w:color="auto" w:fill="E1DFDD"/>
    </w:rPr>
  </w:style>
  <w:style w:type="character" w:customStyle="1" w:styleId="SDSTextHeading2Char">
    <w:name w:val="SDS_Text_Heading2 Char"/>
    <w:link w:val="SDSTextHeading2"/>
    <w:uiPriority w:val="2"/>
    <w:qFormat/>
    <w:rsid w:val="00AD7672"/>
    <w:rPr>
      <w:rFonts w:ascii="Arial" w:eastAsia="Times New Roman" w:hAnsi="Arial" w:cs="Arial"/>
      <w:b/>
      <w:bCs/>
      <w:color w:val="0070C0"/>
      <w:kern w:val="0"/>
      <w:sz w:val="18"/>
      <w:szCs w:val="16"/>
      <w:shd w:val="clear" w:color="auto" w:fill="9CC2E5"/>
      <w:lang w:val="de-DE" w:eastAsia="nl-NL"/>
      <w14:ligatures w14:val="none"/>
    </w:rPr>
  </w:style>
  <w:style w:type="character" w:customStyle="1" w:styleId="SDSTextNormalChar">
    <w:name w:val="SDS_Text_Normal Char"/>
    <w:link w:val="SDSTextNormal"/>
    <w:uiPriority w:val="5"/>
    <w:qFormat/>
    <w:rsid w:val="00DF7DCC"/>
    <w:rPr>
      <w:rFonts w:ascii="Arial" w:eastAsia="Times New Roman" w:hAnsi="Arial" w:cs="Arial"/>
      <w:kern w:val="0"/>
      <w:sz w:val="16"/>
      <w:szCs w:val="16"/>
      <w:lang w:val="en-GB" w:eastAsia="nl-NL"/>
      <w14:ligatures w14:val="none"/>
    </w:rPr>
  </w:style>
  <w:style w:type="paragraph" w:styleId="Titre">
    <w:name w:val="Title"/>
    <w:basedOn w:val="Normal"/>
    <w:next w:val="Corpsdetexte"/>
    <w:qFormat/>
    <w:pPr>
      <w:keepNext/>
      <w:spacing w:before="240" w:after="120"/>
    </w:pPr>
    <w:rPr>
      <w:rFonts w:ascii="Liberation Sans" w:eastAsia="Microsoft YaHei" w:hAnsi="Liberation Sans" w:cs="Lucida Sans"/>
      <w:sz w:val="28"/>
      <w:szCs w:val="28"/>
    </w:rPr>
  </w:style>
  <w:style w:type="paragraph" w:styleId="Corpsdetexte">
    <w:name w:val="Body Text"/>
    <w:basedOn w:val="Normal"/>
    <w:link w:val="CorpsdetexteCar"/>
    <w:uiPriority w:val="1"/>
    <w:qFormat/>
    <w:rsid w:val="00C410B2"/>
    <w:pPr>
      <w:widowControl w:val="0"/>
      <w:suppressAutoHyphens w:val="0"/>
      <w:spacing w:after="0" w:line="240" w:lineRule="auto"/>
      <w:textAlignment w:val="auto"/>
    </w:pPr>
    <w:rPr>
      <w:rFonts w:ascii="Arial MT" w:eastAsia="Arial MT" w:hAnsi="Arial MT" w:cs="Arial MT"/>
      <w:sz w:val="16"/>
      <w:szCs w:val="16"/>
    </w:r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En-tteetpieddepage">
    <w:name w:val="En-tête et pied de page"/>
    <w:basedOn w:val="Normal"/>
    <w:qFormat/>
  </w:style>
  <w:style w:type="paragraph" w:styleId="Pieddepage">
    <w:name w:val="footer"/>
    <w:basedOn w:val="Normal"/>
    <w:link w:val="PieddepageCar"/>
    <w:rsid w:val="00B84FFD"/>
    <w:pPr>
      <w:tabs>
        <w:tab w:val="center" w:pos="4536"/>
        <w:tab w:val="right" w:pos="9072"/>
      </w:tabs>
      <w:spacing w:after="0" w:line="240" w:lineRule="auto"/>
    </w:pPr>
  </w:style>
  <w:style w:type="paragraph" w:styleId="Paragraphedeliste">
    <w:name w:val="List Paragraph"/>
    <w:basedOn w:val="Normal"/>
    <w:qFormat/>
    <w:rsid w:val="00B84FFD"/>
    <w:pPr>
      <w:ind w:left="720"/>
    </w:pPr>
  </w:style>
  <w:style w:type="paragraph" w:customStyle="1" w:styleId="SDSTableTextNormal">
    <w:name w:val="SDS_TableText_Normal"/>
    <w:link w:val="SDSTableTextNormalChar"/>
    <w:uiPriority w:val="12"/>
    <w:qFormat/>
    <w:rsid w:val="00B84FFD"/>
    <w:pPr>
      <w:keepLines/>
      <w:spacing w:line="288" w:lineRule="auto"/>
    </w:pPr>
    <w:rPr>
      <w:rFonts w:ascii="Arial" w:eastAsia="Times New Roman" w:hAnsi="Arial" w:cs="Arial"/>
      <w:kern w:val="0"/>
      <w:sz w:val="16"/>
      <w:szCs w:val="12"/>
      <w:lang w:val="en-GB" w:eastAsia="nl-NL"/>
      <w14:ligatures w14:val="none"/>
    </w:rPr>
  </w:style>
  <w:style w:type="paragraph" w:customStyle="1" w:styleId="SDSTableTextCentered">
    <w:name w:val="SDS_TableText_Centered"/>
    <w:basedOn w:val="SDSTableTextNormal"/>
    <w:link w:val="SDSTableTextCenteredChar"/>
    <w:uiPriority w:val="16"/>
    <w:qFormat/>
    <w:rsid w:val="00B84FFD"/>
    <w:pPr>
      <w:jc w:val="center"/>
    </w:pPr>
  </w:style>
  <w:style w:type="paragraph" w:customStyle="1" w:styleId="SDSTableTextColonColumn">
    <w:name w:val="SDS_TableText_ColonColumn"/>
    <w:basedOn w:val="SDSTableTextNormal"/>
    <w:link w:val="SDSTableTextColonColumnChar"/>
    <w:uiPriority w:val="16"/>
    <w:qFormat/>
    <w:rsid w:val="00B84FFD"/>
    <w:pPr>
      <w:jc w:val="center"/>
    </w:pPr>
  </w:style>
  <w:style w:type="paragraph" w:styleId="En-tte">
    <w:name w:val="header"/>
    <w:basedOn w:val="Normal"/>
    <w:link w:val="En-tteCar"/>
    <w:uiPriority w:val="99"/>
    <w:unhideWhenUsed/>
    <w:rsid w:val="00B45857"/>
    <w:pPr>
      <w:tabs>
        <w:tab w:val="center" w:pos="4513"/>
        <w:tab w:val="right" w:pos="9026"/>
      </w:tabs>
      <w:spacing w:after="0" w:line="240" w:lineRule="auto"/>
    </w:pPr>
  </w:style>
  <w:style w:type="paragraph" w:customStyle="1" w:styleId="TableParagraph">
    <w:name w:val="Table Paragraph"/>
    <w:basedOn w:val="Normal"/>
    <w:uiPriority w:val="1"/>
    <w:qFormat/>
    <w:rsid w:val="00FB18EA"/>
    <w:pPr>
      <w:widowControl w:val="0"/>
      <w:suppressAutoHyphens w:val="0"/>
      <w:spacing w:before="65" w:after="0" w:line="240" w:lineRule="auto"/>
      <w:ind w:left="57"/>
      <w:textAlignment w:val="auto"/>
    </w:pPr>
    <w:rPr>
      <w:rFonts w:ascii="Arial MT" w:eastAsia="Arial MT" w:hAnsi="Arial MT" w:cs="Arial MT"/>
    </w:rPr>
  </w:style>
  <w:style w:type="paragraph" w:customStyle="1" w:styleId="SDSTableTextHeading1">
    <w:name w:val="SDS_TableText_Heading1"/>
    <w:link w:val="SDSTableTextHeading1Char"/>
    <w:uiPriority w:val="12"/>
    <w:qFormat/>
    <w:rsid w:val="00707D00"/>
    <w:pPr>
      <w:keepNext/>
      <w:keepLines/>
      <w:spacing w:line="288" w:lineRule="auto"/>
    </w:pPr>
    <w:rPr>
      <w:rFonts w:ascii="Arial" w:eastAsia="Times New Roman" w:hAnsi="Arial" w:cs="Arial"/>
      <w:b/>
      <w:color w:val="0070C0"/>
      <w:kern w:val="0"/>
      <w:sz w:val="18"/>
      <w:szCs w:val="16"/>
      <w:lang w:val="en-GB" w:eastAsia="nl-NL"/>
      <w14:ligatures w14:val="none"/>
    </w:rPr>
  </w:style>
  <w:style w:type="paragraph" w:customStyle="1" w:styleId="SDSTextBlankLine">
    <w:name w:val="SDS_Text_BlankLine"/>
    <w:link w:val="SDSTextBlankLineChar"/>
    <w:uiPriority w:val="8"/>
    <w:qFormat/>
    <w:rsid w:val="00431C6F"/>
    <w:rPr>
      <w:rFonts w:ascii="Arial" w:eastAsia="Times New Roman" w:hAnsi="Arial" w:cs="Arial"/>
      <w:kern w:val="0"/>
      <w:sz w:val="2"/>
      <w:szCs w:val="16"/>
      <w:lang w:val="en-GB" w:eastAsia="nl-NL"/>
      <w14:ligatures w14:val="none"/>
    </w:rPr>
  </w:style>
  <w:style w:type="paragraph" w:customStyle="1" w:styleId="SDSTextHeading2">
    <w:name w:val="SDS_Text_Heading2"/>
    <w:link w:val="SDSTextHeading2Char"/>
    <w:uiPriority w:val="2"/>
    <w:qFormat/>
    <w:rsid w:val="00AD7672"/>
    <w:pPr>
      <w:keepNext/>
      <w:keepLines/>
      <w:pBdr>
        <w:top w:val="single" w:sz="2" w:space="2" w:color="9CC2E5" w:themeColor="accent5" w:themeTint="99"/>
        <w:left w:val="single" w:sz="2" w:space="0" w:color="9CC2E5" w:themeColor="accent5" w:themeTint="99"/>
        <w:bottom w:val="single" w:sz="2" w:space="2" w:color="9CC2E5" w:themeColor="accent5" w:themeTint="99"/>
        <w:right w:val="single" w:sz="2" w:space="0" w:color="9CC2E5" w:themeColor="accent5" w:themeTint="99"/>
      </w:pBdr>
      <w:shd w:val="clear" w:color="auto" w:fill="9CC2E5" w:themeFill="accent5" w:themeFillTint="99"/>
      <w:spacing w:before="120" w:after="120"/>
      <w:ind w:left="312" w:hanging="284"/>
      <w:outlineLvl w:val="1"/>
    </w:pPr>
    <w:rPr>
      <w:rFonts w:ascii="Arial" w:eastAsia="Times New Roman" w:hAnsi="Arial" w:cs="Arial"/>
      <w:b/>
      <w:bCs/>
      <w:color w:val="0070C0"/>
      <w:kern w:val="0"/>
      <w:sz w:val="18"/>
      <w:szCs w:val="16"/>
      <w:lang w:val="de-DE" w:eastAsia="nl-NL"/>
      <w14:ligatures w14:val="none"/>
    </w:rPr>
  </w:style>
  <w:style w:type="paragraph" w:customStyle="1" w:styleId="SDSTextNormal">
    <w:name w:val="SDS_Text_Normal"/>
    <w:link w:val="SDSTextNormalChar"/>
    <w:uiPriority w:val="5"/>
    <w:qFormat/>
    <w:rsid w:val="00DF7DCC"/>
    <w:pPr>
      <w:keepLines/>
      <w:spacing w:line="288" w:lineRule="auto"/>
    </w:pPr>
    <w:rPr>
      <w:rFonts w:ascii="Arial" w:eastAsia="Times New Roman" w:hAnsi="Arial" w:cs="Arial"/>
      <w:kern w:val="0"/>
      <w:sz w:val="16"/>
      <w:szCs w:val="16"/>
      <w:lang w:val="en-GB" w:eastAsia="nl-NL"/>
      <w14:ligatures w14:val="none"/>
    </w:rPr>
  </w:style>
  <w:style w:type="numbering" w:customStyle="1" w:styleId="Pasdeliste">
    <w:name w:val="Pas de liste"/>
    <w:uiPriority w:val="99"/>
    <w:semiHidden/>
    <w:unhideWhenUsed/>
    <w:qFormat/>
  </w:style>
  <w:style w:type="table" w:styleId="Grilledutableau">
    <w:name w:val="Table Grid"/>
    <w:basedOn w:val="TableauNormal"/>
    <w:uiPriority w:val="39"/>
    <w:rsid w:val="00B84F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DSTableWithoutBorders">
    <w:name w:val="SDS_Table_WithoutBorders"/>
    <w:basedOn w:val="TableauNormal"/>
    <w:rsid w:val="00B84FFD"/>
    <w:rPr>
      <w:sz w:val="16"/>
      <w:szCs w:val="20"/>
      <w:lang w:val="en-GB" w:eastAsia="en-GB"/>
    </w:rPr>
    <w:tblPr>
      <w:tblCellMar>
        <w:left w:w="0" w:type="dxa"/>
        <w:right w:w="0" w:type="dxa"/>
      </w:tblCellMar>
    </w:tblPr>
    <w:tcPr>
      <w:shd w:val="clear" w:color="auto" w:fill="auto"/>
    </w:tcPr>
  </w:style>
  <w:style w:type="table" w:customStyle="1" w:styleId="TableNormal">
    <w:name w:val="Table Normal"/>
    <w:uiPriority w:val="2"/>
    <w:semiHidden/>
    <w:unhideWhenUsed/>
    <w:qFormat/>
    <w:rsid w:val="00FB18EA"/>
    <w:rPr>
      <w:lang w:val="en-US"/>
    </w:rPr>
    <w:tblPr>
      <w:tblCellMar>
        <w:top w:w="0" w:type="dxa"/>
        <w:left w:w="0" w:type="dxa"/>
        <w:bottom w:w="0" w:type="dxa"/>
        <w:right w:w="0" w:type="dxa"/>
      </w:tblCellMar>
    </w:tblPr>
  </w:style>
  <w:style w:type="table" w:customStyle="1" w:styleId="TableGrid">
    <w:name w:val="TableGrid"/>
    <w:rsid w:val="00243BE9"/>
    <w:rPr>
      <w:rFonts w:eastAsiaTheme="minorEastAsia"/>
      <w:sz w:val="24"/>
      <w:szCs w:val="24"/>
      <w:lang w:eastAsia="fr-FR"/>
    </w:rPr>
    <w:tblPr>
      <w:tblCellMar>
        <w:top w:w="0" w:type="dxa"/>
        <w:left w:w="0" w:type="dxa"/>
        <w:bottom w:w="0" w:type="dxa"/>
        <w:right w:w="0" w:type="dxa"/>
      </w:tblCellMar>
    </w:tblPr>
  </w:style>
  <w:style w:type="table" w:customStyle="1" w:styleId="SDSTableWithBordersWithHeaderRow">
    <w:name w:val="SDS_Table_WithBorders_WithHeaderRow"/>
    <w:basedOn w:val="TableauNormal"/>
    <w:rsid w:val="00707D00"/>
    <w:rPr>
      <w:sz w:val="16"/>
      <w:szCs w:val="16"/>
      <w:lang w:val="en-GB" w:eastAsia="en-GB"/>
    </w:r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cPr>
      <w:shd w:val="clear" w:color="auto" w:fill="auto"/>
    </w:tcPr>
    <w:tblStylePr w:type="firstRow">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nfo@quinncrafts.f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422</TotalTime>
  <Pages>8</Pages>
  <Words>1948</Words>
  <Characters>10719</Characters>
  <Application>Microsoft Office Word</Application>
  <DocSecurity>0</DocSecurity>
  <Lines>89</Lines>
  <Paragraphs>25</Paragraphs>
  <ScaleCrop>false</ScaleCrop>
  <Company/>
  <LinksUpToDate>false</LinksUpToDate>
  <CharactersWithSpaces>12642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 Minet</dc:creator>
  <dc:description/>
  <cp:lastModifiedBy>Maël Minet</cp:lastModifiedBy>
  <cp:revision>970</cp:revision>
  <dcterms:created xsi:type="dcterms:W3CDTF">2023-08-01T09:04:00Z</dcterms:created>
  <dcterms:modified xsi:type="dcterms:W3CDTF">2026-10-05T13:26:00Z</dcterms:modified>
  <dc:language>fr-FR</dc:language>
</cp:coreProperties>
</file>