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8B40A" w14:textId="77777777" w:rsidR="007A675D" w:rsidRDefault="00000000">
      <w:pPr>
        <w:shd w:val="clear" w:color="auto" w:fill="8EAADB" w:themeFill="accent1" w:themeFillTint="99"/>
        <w:spacing w:before="120" w:after="12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RUBRIQUE 1 : IDENTIFICATION DU MÉLANGE ET DE LA SOCIÉTÉ</w:t>
      </w:r>
    </w:p>
    <w:p w14:paraId="463FC94F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1.1 Identificateur de produit</w:t>
      </w:r>
    </w:p>
    <w:tbl>
      <w:tblPr>
        <w:tblStyle w:val="Grilledutableau"/>
        <w:tblW w:w="10456" w:type="dxa"/>
        <w:tblLayout w:type="fixed"/>
        <w:tblLook w:val="04A0" w:firstRow="1" w:lastRow="0" w:firstColumn="1" w:lastColumn="0" w:noHBand="0" w:noVBand="1"/>
      </w:tblPr>
      <w:tblGrid>
        <w:gridCol w:w="5228"/>
        <w:gridCol w:w="5228"/>
      </w:tblGrid>
      <w:tr w:rsidR="007A675D" w14:paraId="6146F700" w14:textId="77777777">
        <w:trPr>
          <w:trHeight w:val="330"/>
        </w:trPr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14:paraId="181AC833" w14:textId="77777777" w:rsidR="007A675D" w:rsidRDefault="00000000">
            <w:pPr>
              <w:spacing w:after="120"/>
              <w:rPr>
                <w:rFonts w:cs="Calibri"/>
              </w:rPr>
            </w:pPr>
            <w:r>
              <w:rPr>
                <w:rFonts w:cs="Calibri"/>
              </w:rPr>
              <w:t>Forme du produit</w:t>
            </w: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14:paraId="567F009A" w14:textId="77777777" w:rsidR="007A675D" w:rsidRDefault="00000000">
            <w:pPr>
              <w:spacing w:after="120"/>
              <w:rPr>
                <w:rFonts w:cs="Calibri"/>
              </w:rPr>
            </w:pPr>
            <w:r>
              <w:rPr>
                <w:rFonts w:cs="Calibri"/>
              </w:rPr>
              <w:t>: Mélange</w:t>
            </w:r>
          </w:p>
        </w:tc>
      </w:tr>
      <w:tr w:rsidR="007A675D" w14:paraId="39CFC92F" w14:textId="77777777"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14:paraId="7A7E99C8" w14:textId="77777777" w:rsidR="007A675D" w:rsidRDefault="00000000">
            <w:pPr>
              <w:spacing w:after="120"/>
              <w:rPr>
                <w:rFonts w:cs="Calibri"/>
              </w:rPr>
            </w:pPr>
            <w:r>
              <w:rPr>
                <w:rFonts w:cs="Calibri"/>
              </w:rPr>
              <w:t>Nom du produit</w:t>
            </w: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14:paraId="65DE853D" w14:textId="77777777" w:rsidR="007A675D" w:rsidRDefault="00000000">
            <w:pPr>
              <w:spacing w:after="120"/>
              <w:rPr>
                <w:rFonts w:cs="Calibri"/>
              </w:rPr>
            </w:pPr>
            <w:r>
              <w:rPr>
                <w:rFonts w:cs="Calibri"/>
              </w:rPr>
              <w:t>: Bougie bois de santal 10%</w:t>
            </w:r>
          </w:p>
          <w:p w14:paraId="24AA7178" w14:textId="77777777" w:rsidR="007A675D" w:rsidRDefault="00000000">
            <w:pPr>
              <w:spacing w:after="120"/>
              <w:rPr>
                <w:rFonts w:cs="Calibri"/>
              </w:rPr>
            </w:pPr>
            <w:r>
              <w:rPr>
                <w:rFonts w:cs="Calibri"/>
              </w:rPr>
              <w:t xml:space="preserve">QUINN CRAFTS </w:t>
            </w:r>
          </w:p>
        </w:tc>
      </w:tr>
    </w:tbl>
    <w:p w14:paraId="7365D993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1.2 Utilisations identifiées pertinentes du mélange et utilisations déconseillées</w:t>
      </w:r>
    </w:p>
    <w:p w14:paraId="2558E3E0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Utilisations conseillées : Bougie parfumante</w:t>
      </w:r>
    </w:p>
    <w:p w14:paraId="5E2ACB6F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Utilisations déconseillées : Pas d’informations</w:t>
      </w:r>
    </w:p>
    <w:p w14:paraId="2ACB50F8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1.3 Renseignements concernant le fournisseur de la fiche de données de sécurité</w:t>
      </w:r>
    </w:p>
    <w:p w14:paraId="67BEA0CF" w14:textId="3B2878A6" w:rsidR="007A675D" w:rsidRDefault="00F46C90">
      <w:pPr>
        <w:shd w:val="clear" w:color="auto" w:fill="FFFFFF" w:themeFill="background1"/>
        <w:suppressAutoHyphens w:val="0"/>
        <w:spacing w:after="0" w:line="240" w:lineRule="auto"/>
        <w:textAlignment w:val="auto"/>
        <w:rPr>
          <w:rFonts w:cs="Calibri"/>
        </w:rPr>
      </w:pPr>
      <w:r w:rsidRPr="00F46C90">
        <w:rPr>
          <w:rFonts w:cs="Calibri"/>
        </w:rPr>
        <w:t>ANA BEAUTÉ – Quinn Crafts</w:t>
      </w:r>
      <w:r w:rsidRPr="00F46C90">
        <w:rPr>
          <w:rFonts w:cs="Calibri"/>
        </w:rPr>
        <w:br/>
        <w:t>SIREN : 912166022</w:t>
      </w:r>
      <w:r w:rsidRPr="00F46C90">
        <w:rPr>
          <w:rFonts w:cs="Calibri"/>
        </w:rPr>
        <w:br/>
        <w:t>6 Avenue Aristide Briand, 39100 Dole</w:t>
      </w:r>
      <w:r w:rsidRPr="00F46C90">
        <w:rPr>
          <w:rFonts w:cs="Calibri"/>
        </w:rPr>
        <w:br/>
        <w:t>Téléphone : 06 70 75 05 04</w:t>
      </w:r>
      <w:r w:rsidRPr="00F46C90">
        <w:rPr>
          <w:rFonts w:cs="Calibri"/>
        </w:rPr>
        <w:br/>
        <w:t xml:space="preserve">E-mail : </w:t>
      </w:r>
      <w:hyperlink r:id="rId7" w:history="1">
        <w:r w:rsidRPr="00F46C90">
          <w:rPr>
            <w:rStyle w:val="Lienhypertexte"/>
            <w:rFonts w:cs="Calibri"/>
          </w:rPr>
          <w:t>info@quinncrafts.fr</w:t>
        </w:r>
      </w:hyperlink>
      <w:r w:rsidR="00000000">
        <w:t xml:space="preserve"> </w:t>
      </w:r>
    </w:p>
    <w:p w14:paraId="172C1C0A" w14:textId="77777777" w:rsidR="007A675D" w:rsidRDefault="007A675D">
      <w:pPr>
        <w:shd w:val="clear" w:color="auto" w:fill="FFFFFF"/>
        <w:suppressAutoHyphens w:val="0"/>
        <w:spacing w:after="0" w:line="240" w:lineRule="auto"/>
        <w:textAlignment w:val="auto"/>
        <w:rPr>
          <w:rFonts w:cs="Calibri"/>
        </w:rPr>
      </w:pPr>
    </w:p>
    <w:p w14:paraId="123C6242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1.4 Numéro d’appel d’urgence</w:t>
      </w:r>
    </w:p>
    <w:p w14:paraId="3192416A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Numéro d'urgence ORFILA : 01 45 42 59 59 (7j/7, 24h/24)</w:t>
      </w:r>
    </w:p>
    <w:p w14:paraId="52E44544" w14:textId="77777777" w:rsidR="007A675D" w:rsidRDefault="00000000">
      <w:pPr>
        <w:shd w:val="clear" w:color="auto" w:fill="8EAADB" w:themeFill="accent1" w:themeFillTint="99"/>
        <w:spacing w:before="120" w:after="12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RUBRIQUE 2 : IDENTIFICATION DES DANGERS</w:t>
      </w:r>
    </w:p>
    <w:p w14:paraId="1A421FAA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2.1 Classification de la substance ou du mélange </w:t>
      </w:r>
    </w:p>
    <w:p w14:paraId="75C58E0D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Ce produit est considéré comme un mélange. Classification selon les critères du règlement CE 1272/2008.</w:t>
      </w:r>
    </w:p>
    <w:tbl>
      <w:tblPr>
        <w:tblStyle w:val="SDSTableWithoutBorders"/>
        <w:tblW w:w="10485" w:type="dxa"/>
        <w:tblLayout w:type="fixed"/>
        <w:tblLook w:val="04A0" w:firstRow="1" w:lastRow="0" w:firstColumn="1" w:lastColumn="0" w:noHBand="0" w:noVBand="1"/>
      </w:tblPr>
      <w:tblGrid>
        <w:gridCol w:w="7087"/>
        <w:gridCol w:w="3398"/>
      </w:tblGrid>
      <w:tr w:rsidR="007A675D" w14:paraId="54CFFD79" w14:textId="77777777">
        <w:tc>
          <w:tcPr>
            <w:tcW w:w="7087" w:type="dxa"/>
          </w:tcPr>
          <w:p w14:paraId="36E78BFF" w14:textId="77777777" w:rsidR="007A675D" w:rsidRDefault="00000000">
            <w:pPr>
              <w:pStyle w:val="SDSTableTextNormal"/>
              <w:rPr>
                <w:rFonts w:ascii="Calibri" w:eastAsia="Calibri" w:hAnsi="Calibri" w:cs="Calibri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fr-FR" w:eastAsia="en-US"/>
              </w:rPr>
              <w:t>Dangereux pour le milieu aquatique – Danger chronique, catégorie 3</w:t>
            </w:r>
          </w:p>
        </w:tc>
        <w:tc>
          <w:tcPr>
            <w:tcW w:w="3398" w:type="dxa"/>
          </w:tcPr>
          <w:p w14:paraId="6BF29877" w14:textId="77777777" w:rsidR="007A675D" w:rsidRDefault="00000000">
            <w:pPr>
              <w:pStyle w:val="SDSTableTextNormal"/>
              <w:rPr>
                <w:rFonts w:ascii="Calibri" w:eastAsia="Calibri" w:hAnsi="Calibri" w:cs="Calibri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fr-FR" w:eastAsia="en-US"/>
              </w:rPr>
              <w:t xml:space="preserve">H412 </w:t>
            </w:r>
          </w:p>
        </w:tc>
      </w:tr>
    </w:tbl>
    <w:p w14:paraId="4A3BE8B1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2.2 Éléments d’étiquetage</w:t>
      </w:r>
    </w:p>
    <w:tbl>
      <w:tblPr>
        <w:tblStyle w:val="SDSTableWithoutBorders"/>
        <w:tblW w:w="10489" w:type="dxa"/>
        <w:tblLayout w:type="fixed"/>
        <w:tblLook w:val="04A0" w:firstRow="1" w:lastRow="0" w:firstColumn="1" w:lastColumn="0" w:noHBand="0" w:noVBand="1"/>
      </w:tblPr>
      <w:tblGrid>
        <w:gridCol w:w="3684"/>
        <w:gridCol w:w="285"/>
        <w:gridCol w:w="6520"/>
      </w:tblGrid>
      <w:tr w:rsidR="007A675D" w14:paraId="4C76CC61" w14:textId="77777777">
        <w:tc>
          <w:tcPr>
            <w:tcW w:w="3684" w:type="dxa"/>
          </w:tcPr>
          <w:p w14:paraId="775AB10E" w14:textId="77777777" w:rsidR="007A675D" w:rsidRDefault="00000000">
            <w:pPr>
              <w:pStyle w:val="SDSTableTextNormal"/>
              <w:rPr>
                <w:rFonts w:ascii="Calibri" w:eastAsia="Calibri" w:hAnsi="Calibri" w:cs="Calibri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fr-FR" w:eastAsia="en-US"/>
              </w:rPr>
              <w:t>Mentions de danger (CLP)</w:t>
            </w:r>
          </w:p>
        </w:tc>
        <w:tc>
          <w:tcPr>
            <w:tcW w:w="285" w:type="dxa"/>
          </w:tcPr>
          <w:p w14:paraId="6D474F5C" w14:textId="77777777" w:rsidR="007A675D" w:rsidRDefault="00000000">
            <w:pPr>
              <w:pStyle w:val="SDSTableTextColonColumn"/>
              <w:rPr>
                <w:rFonts w:ascii="Calibri" w:eastAsia="Calibri" w:hAnsi="Calibri" w:cs="Calibri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fr-FR" w:eastAsia="en-US"/>
              </w:rPr>
              <w:t>:</w:t>
            </w:r>
          </w:p>
        </w:tc>
        <w:tc>
          <w:tcPr>
            <w:tcW w:w="6520" w:type="dxa"/>
          </w:tcPr>
          <w:p w14:paraId="63BC5E34" w14:textId="77777777" w:rsidR="007A675D" w:rsidRDefault="00000000">
            <w:pPr>
              <w:pStyle w:val="SDSTableTextNormal"/>
              <w:keepLines w:val="0"/>
              <w:rPr>
                <w:rFonts w:ascii="Calibri" w:eastAsia="Calibri" w:hAnsi="Calibri" w:cs="Calibri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fr-FR" w:eastAsia="en-US"/>
              </w:rPr>
              <w:t>H412 - Nocif pour les organismes aquatiques, entraîne des effets néfastes à long terme.</w:t>
            </w:r>
          </w:p>
        </w:tc>
      </w:tr>
      <w:tr w:rsidR="007A675D" w14:paraId="279390A3" w14:textId="77777777">
        <w:tc>
          <w:tcPr>
            <w:tcW w:w="3684" w:type="dxa"/>
          </w:tcPr>
          <w:p w14:paraId="048B76C4" w14:textId="77777777" w:rsidR="007A675D" w:rsidRDefault="00000000">
            <w:pPr>
              <w:pStyle w:val="SDSTableTextNormal"/>
              <w:rPr>
                <w:rFonts w:ascii="Calibri" w:eastAsia="Calibri" w:hAnsi="Calibri" w:cs="Calibri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fr-FR" w:eastAsia="en-US"/>
              </w:rPr>
              <w:t>Contient</w:t>
            </w:r>
          </w:p>
        </w:tc>
        <w:tc>
          <w:tcPr>
            <w:tcW w:w="285" w:type="dxa"/>
          </w:tcPr>
          <w:p w14:paraId="7557E24A" w14:textId="77777777" w:rsidR="007A675D" w:rsidRDefault="00000000">
            <w:pPr>
              <w:pStyle w:val="SDSTableTextColonColumn"/>
              <w:rPr>
                <w:rFonts w:ascii="Calibri" w:eastAsia="Calibri" w:hAnsi="Calibri" w:cs="Calibri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fr-FR" w:eastAsia="en-US"/>
              </w:rPr>
              <w:t>:</w:t>
            </w:r>
          </w:p>
        </w:tc>
        <w:tc>
          <w:tcPr>
            <w:tcW w:w="6520" w:type="dxa"/>
          </w:tcPr>
          <w:p w14:paraId="47912DB7" w14:textId="77777777" w:rsidR="007A675D" w:rsidRDefault="00000000">
            <w:pPr>
              <w:pStyle w:val="SDSTableTextNormal"/>
              <w:keepLines w:val="0"/>
              <w:rPr>
                <w:rFonts w:ascii="Calibri" w:eastAsia="Calibri" w:hAnsi="Calibri" w:cs="Calibri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fr-FR" w:eastAsia="en-US"/>
              </w:rPr>
              <w:t>Contient CEDRAMBER, ISO E SUPER, COUMARINE, CASHMERAN. Peut produire une réaction allergique.</w:t>
            </w:r>
          </w:p>
        </w:tc>
      </w:tr>
      <w:tr w:rsidR="007A675D" w14:paraId="050E7A53" w14:textId="77777777">
        <w:tc>
          <w:tcPr>
            <w:tcW w:w="3684" w:type="dxa"/>
          </w:tcPr>
          <w:p w14:paraId="632077CF" w14:textId="77777777" w:rsidR="007A675D" w:rsidRDefault="00000000">
            <w:pPr>
              <w:pStyle w:val="SDSTableTextNormal"/>
              <w:rPr>
                <w:rFonts w:ascii="Calibri" w:eastAsia="Calibri" w:hAnsi="Calibri" w:cs="Calibri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fr-FR" w:eastAsia="en-US"/>
              </w:rPr>
              <w:t>Conseils de prudence (CLP)</w:t>
            </w:r>
          </w:p>
        </w:tc>
        <w:tc>
          <w:tcPr>
            <w:tcW w:w="285" w:type="dxa"/>
          </w:tcPr>
          <w:p w14:paraId="6FA11BAF" w14:textId="77777777" w:rsidR="007A675D" w:rsidRDefault="00000000">
            <w:pPr>
              <w:pStyle w:val="SDSTableTextColonColumn"/>
              <w:rPr>
                <w:rFonts w:ascii="Calibri" w:eastAsia="Calibri" w:hAnsi="Calibri" w:cs="Calibri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fr-FR" w:eastAsia="en-US"/>
              </w:rPr>
              <w:t>:</w:t>
            </w:r>
          </w:p>
        </w:tc>
        <w:tc>
          <w:tcPr>
            <w:tcW w:w="6520" w:type="dxa"/>
          </w:tcPr>
          <w:p w14:paraId="12B00076" w14:textId="77777777" w:rsidR="007A675D" w:rsidRDefault="00000000">
            <w:pPr>
              <w:pStyle w:val="SDSTableTextNormal"/>
              <w:keepLines w:val="0"/>
              <w:rPr>
                <w:rFonts w:ascii="Calibri" w:eastAsia="Calibri" w:hAnsi="Calibri" w:cs="Calibri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fr-FR" w:eastAsia="en-US"/>
              </w:rPr>
              <w:t>P102 - Tenir hors de portée des enfants.</w:t>
            </w:r>
            <w:r>
              <w:rPr>
                <w:rFonts w:ascii="Calibri" w:eastAsia="Calibri" w:hAnsi="Calibri" w:cs="Calibri"/>
                <w:sz w:val="22"/>
                <w:szCs w:val="22"/>
                <w:lang w:val="fr-FR" w:eastAsia="en-US"/>
              </w:rPr>
              <w:br/>
              <w:t>P273 - Éviter le rejet dans l’environnement.</w:t>
            </w:r>
            <w:r>
              <w:rPr>
                <w:rFonts w:ascii="Calibri" w:eastAsia="Calibri" w:hAnsi="Calibri" w:cs="Calibri"/>
                <w:sz w:val="22"/>
                <w:szCs w:val="22"/>
                <w:lang w:val="fr-FR" w:eastAsia="en-US"/>
              </w:rPr>
              <w:br/>
              <w:t>P501 - Éliminer le contenu/récipient dans un centre de collecte de déchets dangereux ou spéciaux, conformément à la réglementation locale, régionale, nationale et/ou internationale.</w:t>
            </w:r>
          </w:p>
        </w:tc>
      </w:tr>
    </w:tbl>
    <w:p w14:paraId="17777242" w14:textId="77777777" w:rsidR="007A675D" w:rsidRDefault="007A675D">
      <w:pPr>
        <w:suppressAutoHyphens w:val="0"/>
        <w:rPr>
          <w:rFonts w:eastAsia="Times New Roman" w:cs="Calibri"/>
          <w:color w:val="000000"/>
          <w:lang w:eastAsia="fr-FR"/>
        </w:rPr>
      </w:pPr>
    </w:p>
    <w:p w14:paraId="5C6718FA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2.3 Autres dangers</w:t>
      </w:r>
    </w:p>
    <w:p w14:paraId="7A362833" w14:textId="77777777" w:rsidR="007A675D" w:rsidRDefault="00000000">
      <w:pPr>
        <w:spacing w:before="120" w:after="120" w:line="240" w:lineRule="auto"/>
        <w:rPr>
          <w:rFonts w:cs="Calibri"/>
        </w:rPr>
      </w:pPr>
      <w:r>
        <w:t>Ne contient pas de substances PBT/vPvB ≥ 0,1 % évaluées conformément à l’annexe XIII du règlement REACH</w:t>
      </w:r>
    </w:p>
    <w:p w14:paraId="0AB136A0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 xml:space="preserve">Le mélange ne contient pas de substances inscrites sur la liste établie conformément à l’article 59, paragraphe 1, de REACH comme ayant des propriétés perturbant le système endocrinien, ou n’est pas reconnu comme ayant des </w:t>
      </w:r>
      <w:r>
        <w:rPr>
          <w:rFonts w:cs="Calibri"/>
        </w:rPr>
        <w:lastRenderedPageBreak/>
        <w:t>propriétés perturbant le système endocrinien conformément aux critères définis dans le Règlement délégué (UE) 2017/2100 de la Commission ou le Règlement (UE) 2018/605 de la Commission.</w:t>
      </w:r>
    </w:p>
    <w:p w14:paraId="4B89429C" w14:textId="77777777" w:rsidR="007A675D" w:rsidRDefault="007A675D">
      <w:pPr>
        <w:spacing w:before="120" w:after="120" w:line="240" w:lineRule="auto"/>
        <w:rPr>
          <w:rFonts w:cs="Calibri"/>
        </w:rPr>
      </w:pPr>
    </w:p>
    <w:p w14:paraId="6BCD3422" w14:textId="77777777" w:rsidR="007A675D" w:rsidRDefault="00000000">
      <w:pPr>
        <w:shd w:val="clear" w:color="auto" w:fill="8EAADB" w:themeFill="accent1" w:themeFillTint="99"/>
        <w:spacing w:before="120" w:after="12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RUBRIQUE 3 : COMPOSITION/INFORMATIONS SUR LES COMPOSANTS</w:t>
      </w:r>
    </w:p>
    <w:p w14:paraId="3A55F7E9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3.1 Substances</w:t>
      </w:r>
    </w:p>
    <w:p w14:paraId="0F146D5B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Non applicable</w:t>
      </w:r>
    </w:p>
    <w:p w14:paraId="1DB3E905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3.2 Mélanges</w:t>
      </w:r>
    </w:p>
    <w:tbl>
      <w:tblPr>
        <w:tblStyle w:val="TableNormal"/>
        <w:tblW w:w="10490" w:type="dxa"/>
        <w:tblInd w:w="-3" w:type="dxa"/>
        <w:tblLayout w:type="fixed"/>
        <w:tblCellMar>
          <w:left w:w="2" w:type="dxa"/>
          <w:right w:w="2" w:type="dxa"/>
        </w:tblCellMar>
        <w:tblLook w:val="01E0" w:firstRow="1" w:lastRow="1" w:firstColumn="1" w:lastColumn="1" w:noHBand="0" w:noVBand="0"/>
      </w:tblPr>
      <w:tblGrid>
        <w:gridCol w:w="2778"/>
        <w:gridCol w:w="1000"/>
        <w:gridCol w:w="1001"/>
        <w:gridCol w:w="1999"/>
        <w:gridCol w:w="1001"/>
        <w:gridCol w:w="2711"/>
      </w:tblGrid>
      <w:tr w:rsidR="007A675D" w14:paraId="03CA567D" w14:textId="77777777">
        <w:trPr>
          <w:trHeight w:val="675"/>
        </w:trPr>
        <w:tc>
          <w:tcPr>
            <w:tcW w:w="2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vAlign w:val="center"/>
          </w:tcPr>
          <w:p w14:paraId="19FF17B2" w14:textId="77777777" w:rsidR="007A675D" w:rsidRDefault="00000000">
            <w:pPr>
              <w:pStyle w:val="TableParagraph"/>
              <w:spacing w:before="225"/>
              <w:ind w:left="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sz w:val="20"/>
                <w:lang w:val="en-US"/>
              </w:rPr>
              <w:t>Nom</w:t>
            </w:r>
          </w:p>
        </w:tc>
        <w:tc>
          <w:tcPr>
            <w:tcW w:w="1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vAlign w:val="center"/>
          </w:tcPr>
          <w:p w14:paraId="6A3CC7F3" w14:textId="77777777" w:rsidR="007A675D" w:rsidRDefault="00000000">
            <w:pPr>
              <w:pStyle w:val="TableParagraph"/>
              <w:spacing w:before="225"/>
              <w:ind w:left="288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5"/>
                <w:sz w:val="20"/>
                <w:lang w:val="en-US"/>
              </w:rPr>
              <w:t>CAS</w:t>
            </w:r>
          </w:p>
        </w:tc>
        <w:tc>
          <w:tcPr>
            <w:tcW w:w="1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vAlign w:val="center"/>
          </w:tcPr>
          <w:p w14:paraId="38CFAFA3" w14:textId="77777777" w:rsidR="007A675D" w:rsidRDefault="00000000">
            <w:pPr>
              <w:pStyle w:val="TableParagraph"/>
              <w:spacing w:before="225"/>
              <w:ind w:left="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5"/>
                <w:sz w:val="20"/>
                <w:lang w:val="en-US"/>
              </w:rPr>
              <w:t>EC</w:t>
            </w:r>
          </w:p>
        </w:tc>
        <w:tc>
          <w:tcPr>
            <w:tcW w:w="1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vAlign w:val="center"/>
          </w:tcPr>
          <w:p w14:paraId="1291CB72" w14:textId="77777777" w:rsidR="007A675D" w:rsidRDefault="00000000">
            <w:pPr>
              <w:pStyle w:val="TableParagraph"/>
              <w:spacing w:before="110"/>
              <w:ind w:left="839" w:right="27" w:hanging="80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  <w:lang w:val="en-US"/>
              </w:rPr>
              <w:t>REACH</w:t>
            </w:r>
            <w:r>
              <w:rPr>
                <w:rFonts w:ascii="Arial" w:hAnsi="Arial"/>
                <w:b/>
                <w:spacing w:val="-14"/>
                <w:sz w:val="20"/>
                <w:lang w:val="en-US"/>
              </w:rPr>
              <w:t xml:space="preserve"> </w:t>
            </w:r>
            <w:r>
              <w:rPr>
                <w:rFonts w:ascii="Arial" w:hAnsi="Arial"/>
                <w:b/>
                <w:sz w:val="20"/>
                <w:lang w:val="en-US"/>
              </w:rPr>
              <w:t>Numéro</w:t>
            </w:r>
          </w:p>
        </w:tc>
        <w:tc>
          <w:tcPr>
            <w:tcW w:w="1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vAlign w:val="center"/>
          </w:tcPr>
          <w:p w14:paraId="7E3695F9" w14:textId="77777777" w:rsidR="007A675D" w:rsidRDefault="00000000">
            <w:pPr>
              <w:pStyle w:val="TableParagraph"/>
              <w:spacing w:before="225"/>
              <w:ind w:left="5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0"/>
                <w:sz w:val="20"/>
                <w:lang w:val="en-US"/>
              </w:rPr>
              <w:t>%</w:t>
            </w:r>
          </w:p>
        </w:tc>
        <w:tc>
          <w:tcPr>
            <w:tcW w:w="2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vAlign w:val="center"/>
          </w:tcPr>
          <w:p w14:paraId="0F246F31" w14:textId="77777777" w:rsidR="007A675D" w:rsidRDefault="00000000">
            <w:pPr>
              <w:pStyle w:val="TableParagraph"/>
              <w:spacing w:before="110"/>
              <w:ind w:left="93" w:right="37" w:hanging="4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  <w:lang w:val="en-US"/>
              </w:rPr>
              <w:t>Classification</w:t>
            </w:r>
          </w:p>
        </w:tc>
      </w:tr>
      <w:tr w:rsidR="007A675D" w:rsidRPr="00F46C90" w14:paraId="2FEA73E7" w14:textId="77777777">
        <w:trPr>
          <w:trHeight w:val="755"/>
        </w:trPr>
        <w:tc>
          <w:tcPr>
            <w:tcW w:w="2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64A8EB" w14:textId="77777777" w:rsidR="007A675D" w:rsidRDefault="00000000">
            <w:pPr>
              <w:pStyle w:val="TableParagraph"/>
              <w:spacing w:before="104"/>
              <w:ind w:right="33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CEDRAMBER</w:t>
            </w:r>
          </w:p>
          <w:p w14:paraId="24B0F8FE" w14:textId="77777777" w:rsidR="007A675D" w:rsidRDefault="007A675D">
            <w:pPr>
              <w:pStyle w:val="TableParagraph"/>
              <w:spacing w:before="104"/>
              <w:ind w:left="0" w:right="33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4CF5E6" w14:textId="77777777" w:rsidR="007A675D" w:rsidRDefault="00000000">
            <w:pPr>
              <w:pStyle w:val="TableParagraph"/>
              <w:spacing w:befor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19870-74-7</w:t>
            </w:r>
          </w:p>
        </w:tc>
        <w:tc>
          <w:tcPr>
            <w:tcW w:w="1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82594A" w14:textId="77777777" w:rsidR="007A675D" w:rsidRDefault="00000000">
            <w:pPr>
              <w:pStyle w:val="TableParagraph"/>
              <w:spacing w:befor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243-384-7</w:t>
            </w:r>
          </w:p>
        </w:tc>
        <w:tc>
          <w:tcPr>
            <w:tcW w:w="1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A83277" w14:textId="77777777" w:rsidR="007A675D" w:rsidRDefault="00000000">
            <w:pPr>
              <w:pStyle w:val="TableParagraph"/>
              <w:spacing w:before="0"/>
              <w:ind w:left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01-2120228335-61</w:t>
            </w:r>
          </w:p>
        </w:tc>
        <w:tc>
          <w:tcPr>
            <w:tcW w:w="1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A4DD1F" w14:textId="77777777" w:rsidR="007A675D" w:rsidRDefault="00000000">
            <w:pPr>
              <w:pStyle w:val="TableParagraph"/>
              <w:spacing w:befor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0.80%</w:t>
            </w:r>
          </w:p>
        </w:tc>
        <w:tc>
          <w:tcPr>
            <w:tcW w:w="2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C3923B" w14:textId="77777777" w:rsidR="007A675D" w:rsidRPr="00F46C90" w:rsidRDefault="00000000">
            <w:pPr>
              <w:pStyle w:val="TableParagraph"/>
              <w:spacing w:line="180" w:lineRule="atLeast"/>
              <w:ind w:right="92"/>
              <w:jc w:val="both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Aquatic Acute 1, Aquatic Chronic 1, Skin Sens. 1B</w:t>
            </w:r>
          </w:p>
          <w:p w14:paraId="09CD9C1B" w14:textId="77777777" w:rsidR="007A675D" w:rsidRPr="00F46C90" w:rsidRDefault="007A675D">
            <w:pPr>
              <w:pStyle w:val="TableParagraph"/>
              <w:spacing w:before="0" w:line="180" w:lineRule="atLeast"/>
              <w:ind w:right="92"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A675D" w14:paraId="36343A32" w14:textId="77777777">
        <w:trPr>
          <w:trHeight w:val="755"/>
        </w:trPr>
        <w:tc>
          <w:tcPr>
            <w:tcW w:w="2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6D3251" w14:textId="77777777" w:rsidR="007A675D" w:rsidRDefault="00000000">
            <w:pPr>
              <w:pStyle w:val="TableParagraph"/>
              <w:spacing w:before="104"/>
              <w:ind w:right="33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ISO E SUPER</w:t>
            </w:r>
          </w:p>
          <w:p w14:paraId="08303F9F" w14:textId="77777777" w:rsidR="007A675D" w:rsidRDefault="007A675D">
            <w:pPr>
              <w:pStyle w:val="TableParagraph"/>
              <w:spacing w:before="104"/>
              <w:ind w:left="0" w:right="33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056358" w14:textId="77777777" w:rsidR="007A675D" w:rsidRDefault="00000000">
            <w:pPr>
              <w:pStyle w:val="TableParagraph"/>
              <w:spacing w:befor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54464-57-2</w:t>
            </w:r>
          </w:p>
        </w:tc>
        <w:tc>
          <w:tcPr>
            <w:tcW w:w="1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C103BA" w14:textId="77777777" w:rsidR="007A675D" w:rsidRDefault="00000000">
            <w:pPr>
              <w:pStyle w:val="TableParagraph"/>
              <w:spacing w:befor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259-174-3</w:t>
            </w:r>
          </w:p>
        </w:tc>
        <w:tc>
          <w:tcPr>
            <w:tcW w:w="1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B8F1D3" w14:textId="77777777" w:rsidR="007A675D" w:rsidRDefault="00000000">
            <w:pPr>
              <w:pStyle w:val="TableParagraph"/>
              <w:spacing w:before="0"/>
              <w:ind w:left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01-2119489989-04-XXXX</w:t>
            </w:r>
          </w:p>
        </w:tc>
        <w:tc>
          <w:tcPr>
            <w:tcW w:w="1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222437" w14:textId="77777777" w:rsidR="007A675D" w:rsidRDefault="00000000">
            <w:pPr>
              <w:pStyle w:val="TableParagraph"/>
              <w:spacing w:befor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0.78%</w:t>
            </w:r>
          </w:p>
        </w:tc>
        <w:tc>
          <w:tcPr>
            <w:tcW w:w="2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D40F6C" w14:textId="77777777" w:rsidR="007A675D" w:rsidRDefault="00000000">
            <w:pPr>
              <w:pStyle w:val="TableParagraph"/>
              <w:spacing w:line="180" w:lineRule="atLeast"/>
              <w:ind w:right="9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Aquatic Chronic 1, Skin Irrit. 2, Skin Sens. 1B</w:t>
            </w:r>
          </w:p>
          <w:p w14:paraId="5E6079F9" w14:textId="77777777" w:rsidR="007A675D" w:rsidRDefault="007A675D">
            <w:pPr>
              <w:pStyle w:val="TableParagraph"/>
              <w:spacing w:before="0" w:line="180" w:lineRule="atLeast"/>
              <w:ind w:right="92"/>
              <w:jc w:val="both"/>
              <w:rPr>
                <w:sz w:val="16"/>
                <w:szCs w:val="16"/>
              </w:rPr>
            </w:pPr>
          </w:p>
        </w:tc>
      </w:tr>
      <w:tr w:rsidR="007A675D" w14:paraId="1EA67B9C" w14:textId="77777777">
        <w:trPr>
          <w:trHeight w:val="755"/>
        </w:trPr>
        <w:tc>
          <w:tcPr>
            <w:tcW w:w="2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A969DB" w14:textId="77777777" w:rsidR="007A675D" w:rsidRDefault="00000000">
            <w:pPr>
              <w:pStyle w:val="TableParagraph"/>
              <w:spacing w:before="104"/>
              <w:ind w:right="33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COUMARINE</w:t>
            </w:r>
          </w:p>
          <w:p w14:paraId="5A4EBA4B" w14:textId="77777777" w:rsidR="007A675D" w:rsidRDefault="007A675D">
            <w:pPr>
              <w:pStyle w:val="TableParagraph"/>
              <w:spacing w:before="104"/>
              <w:ind w:left="0" w:right="33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4DB0E1" w14:textId="77777777" w:rsidR="007A675D" w:rsidRDefault="00000000">
            <w:pPr>
              <w:pStyle w:val="TableParagraph"/>
              <w:spacing w:befor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91-64-5</w:t>
            </w:r>
          </w:p>
        </w:tc>
        <w:tc>
          <w:tcPr>
            <w:tcW w:w="1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877537" w14:textId="77777777" w:rsidR="007A675D" w:rsidRDefault="00000000">
            <w:pPr>
              <w:pStyle w:val="TableParagraph"/>
              <w:spacing w:befor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202-086-7</w:t>
            </w:r>
          </w:p>
        </w:tc>
        <w:tc>
          <w:tcPr>
            <w:tcW w:w="1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A891C6" w14:textId="77777777" w:rsidR="007A675D" w:rsidRDefault="00000000">
            <w:pPr>
              <w:pStyle w:val="TableParagraph"/>
              <w:spacing w:before="0"/>
              <w:ind w:left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01-2119943756-26</w:t>
            </w:r>
          </w:p>
        </w:tc>
        <w:tc>
          <w:tcPr>
            <w:tcW w:w="1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ED4E1E" w14:textId="77777777" w:rsidR="007A675D" w:rsidRDefault="00000000">
            <w:pPr>
              <w:pStyle w:val="TableParagraph"/>
              <w:spacing w:befor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0.46%</w:t>
            </w:r>
          </w:p>
        </w:tc>
        <w:tc>
          <w:tcPr>
            <w:tcW w:w="2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DAB208" w14:textId="77777777" w:rsidR="007A675D" w:rsidRDefault="00000000">
            <w:pPr>
              <w:pStyle w:val="TableParagraph"/>
              <w:spacing w:line="180" w:lineRule="atLeast"/>
              <w:ind w:right="9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Acute Tox. 4 ORAL, Skin Sens. 1B</w:t>
            </w:r>
          </w:p>
          <w:p w14:paraId="3EECD4A4" w14:textId="77777777" w:rsidR="007A675D" w:rsidRDefault="007A675D">
            <w:pPr>
              <w:pStyle w:val="TableParagraph"/>
              <w:spacing w:before="0" w:line="180" w:lineRule="atLeast"/>
              <w:ind w:right="92"/>
              <w:jc w:val="both"/>
              <w:rPr>
                <w:sz w:val="16"/>
                <w:szCs w:val="16"/>
              </w:rPr>
            </w:pPr>
          </w:p>
        </w:tc>
      </w:tr>
      <w:tr w:rsidR="007A675D" w14:paraId="43707EAE" w14:textId="77777777">
        <w:trPr>
          <w:trHeight w:val="755"/>
        </w:trPr>
        <w:tc>
          <w:tcPr>
            <w:tcW w:w="2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E0D5F4" w14:textId="77777777" w:rsidR="007A675D" w:rsidRDefault="00000000">
            <w:pPr>
              <w:pStyle w:val="TableParagraph"/>
              <w:spacing w:before="104"/>
              <w:ind w:right="33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CASHMERAN</w:t>
            </w:r>
          </w:p>
          <w:p w14:paraId="137CDA05" w14:textId="77777777" w:rsidR="007A675D" w:rsidRDefault="007A675D">
            <w:pPr>
              <w:pStyle w:val="TableParagraph"/>
              <w:spacing w:before="104"/>
              <w:ind w:left="0" w:right="33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C4A658" w14:textId="77777777" w:rsidR="007A675D" w:rsidRDefault="00000000">
            <w:pPr>
              <w:pStyle w:val="TableParagraph"/>
              <w:spacing w:befor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33704-61-9</w:t>
            </w:r>
          </w:p>
        </w:tc>
        <w:tc>
          <w:tcPr>
            <w:tcW w:w="1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2E3E1C" w14:textId="77777777" w:rsidR="007A675D" w:rsidRDefault="00000000">
            <w:pPr>
              <w:pStyle w:val="TableParagraph"/>
              <w:spacing w:befor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251-649-3</w:t>
            </w:r>
          </w:p>
        </w:tc>
        <w:tc>
          <w:tcPr>
            <w:tcW w:w="1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17E3B" w14:textId="77777777" w:rsidR="007A675D" w:rsidRDefault="007A675D">
            <w:pPr>
              <w:pStyle w:val="TableParagraph"/>
              <w:spacing w:before="0"/>
              <w:ind w:left="0"/>
              <w:rPr>
                <w:rFonts w:ascii="Calibri" w:eastAsia="Calibri" w:hAnsi="Calibri" w:cs="Calibri"/>
              </w:rPr>
            </w:pPr>
          </w:p>
        </w:tc>
        <w:tc>
          <w:tcPr>
            <w:tcW w:w="1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2470E6" w14:textId="77777777" w:rsidR="007A675D" w:rsidRDefault="00000000">
            <w:pPr>
              <w:pStyle w:val="TableParagraph"/>
              <w:spacing w:befor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0.17%</w:t>
            </w:r>
          </w:p>
        </w:tc>
        <w:tc>
          <w:tcPr>
            <w:tcW w:w="2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0C3517" w14:textId="77777777" w:rsidR="007A675D" w:rsidRDefault="00000000">
            <w:pPr>
              <w:pStyle w:val="TableParagraph"/>
              <w:spacing w:line="180" w:lineRule="atLeast"/>
              <w:ind w:right="9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Skin Irrit. 2, Eye Irrit. 2, Skin Sens. 1B, Aquatic Chronic 2</w:t>
            </w:r>
          </w:p>
          <w:p w14:paraId="415DB834" w14:textId="77777777" w:rsidR="007A675D" w:rsidRDefault="007A675D">
            <w:pPr>
              <w:pStyle w:val="TableParagraph"/>
              <w:spacing w:before="0" w:line="180" w:lineRule="atLeast"/>
              <w:ind w:right="92"/>
              <w:jc w:val="both"/>
              <w:rPr>
                <w:sz w:val="16"/>
                <w:szCs w:val="16"/>
              </w:rPr>
            </w:pPr>
          </w:p>
        </w:tc>
      </w:tr>
    </w:tbl>
    <w:p w14:paraId="4DB8A03E" w14:textId="77777777" w:rsidR="007A675D" w:rsidRDefault="007A675D">
      <w:pPr>
        <w:spacing w:before="120" w:after="120" w:line="240" w:lineRule="auto"/>
        <w:rPr>
          <w:rFonts w:cs="Calibri"/>
          <w:sz w:val="20"/>
          <w:szCs w:val="20"/>
        </w:rPr>
      </w:pPr>
    </w:p>
    <w:p w14:paraId="3EE84BDB" w14:textId="77777777" w:rsidR="007A675D" w:rsidRDefault="00000000">
      <w:pPr>
        <w:shd w:val="clear" w:color="auto" w:fill="8EAADB" w:themeFill="accent1" w:themeFillTint="99"/>
        <w:spacing w:before="120" w:after="12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RUBRIQUE 4 : Premiers secours</w:t>
      </w:r>
    </w:p>
    <w:p w14:paraId="70B2E886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4.1. Description des premiers secours</w:t>
      </w:r>
    </w:p>
    <w:p w14:paraId="1A8F3FF6" w14:textId="77777777" w:rsidR="007A675D" w:rsidRDefault="00000000">
      <w:pPr>
        <w:pStyle w:val="Corpsdetexte"/>
        <w:spacing w:before="13"/>
        <w:ind w:left="160"/>
        <w:rPr>
          <w:rFonts w:ascii="Calibri" w:eastAsia="Calibri" w:hAnsi="Calibri" w:cs="Times New Roman"/>
          <w:sz w:val="22"/>
          <w:szCs w:val="22"/>
        </w:rPr>
      </w:pPr>
      <w:r>
        <w:rPr>
          <w:rFonts w:ascii="Calibri" w:eastAsia="Calibri" w:hAnsi="Calibri" w:cs="Times New Roman"/>
          <w:sz w:val="22"/>
          <w:szCs w:val="22"/>
        </w:rPr>
        <w:t>Note générale : Dans tous les cas d'intoxication potentielle, un suivi médical est fortement recommandé.</w:t>
      </w:r>
    </w:p>
    <w:p w14:paraId="04958DC6" w14:textId="77777777" w:rsidR="007A675D" w:rsidRDefault="007A675D">
      <w:pPr>
        <w:pStyle w:val="Corpsdetexte"/>
        <w:spacing w:before="2"/>
        <w:rPr>
          <w:rFonts w:ascii="Calibri" w:eastAsia="Calibri" w:hAnsi="Calibri" w:cs="Times New Roman"/>
          <w:sz w:val="22"/>
          <w:szCs w:val="22"/>
        </w:rPr>
      </w:pPr>
    </w:p>
    <w:p w14:paraId="786C8A64" w14:textId="77777777" w:rsidR="007A675D" w:rsidRDefault="00000000">
      <w:pPr>
        <w:pStyle w:val="Corpsdetexte"/>
        <w:spacing w:before="1"/>
        <w:ind w:left="160"/>
        <w:rPr>
          <w:rFonts w:ascii="Calibri" w:eastAsia="Calibri" w:hAnsi="Calibri" w:cs="Times New Roman"/>
          <w:sz w:val="22"/>
          <w:szCs w:val="22"/>
        </w:rPr>
      </w:pPr>
      <w:r>
        <w:rPr>
          <w:rFonts w:ascii="Calibri" w:eastAsia="Calibri" w:hAnsi="Calibri" w:cs="Times New Roman"/>
          <w:sz w:val="22"/>
          <w:szCs w:val="22"/>
        </w:rPr>
        <w:t>Contact avec la peau : Retirer les vêtements souillés et ne les réutiliser qu'après décontamination.</w:t>
      </w:r>
    </w:p>
    <w:p w14:paraId="770617A2" w14:textId="77777777" w:rsidR="007A675D" w:rsidRDefault="00000000">
      <w:pPr>
        <w:pStyle w:val="Corpsdetexte"/>
        <w:spacing w:before="13" w:line="254" w:lineRule="auto"/>
        <w:ind w:left="160" w:right="3217"/>
        <w:rPr>
          <w:rFonts w:ascii="Calibri" w:eastAsia="Calibri" w:hAnsi="Calibri" w:cs="Times New Roman"/>
          <w:sz w:val="22"/>
          <w:szCs w:val="22"/>
        </w:rPr>
      </w:pPr>
      <w:r>
        <w:rPr>
          <w:rFonts w:ascii="Calibri" w:eastAsia="Calibri" w:hAnsi="Calibri" w:cs="Times New Roman"/>
          <w:sz w:val="22"/>
          <w:szCs w:val="22"/>
        </w:rPr>
        <w:t>Laver immédiatement et abondamment avec de l'eau et du savon. Rincer ensuite à l'eau claire. En cas d'irritations cutanées persistantes, consulter un médecin.</w:t>
      </w:r>
    </w:p>
    <w:p w14:paraId="3FC5A50D" w14:textId="77777777" w:rsidR="007A675D" w:rsidRDefault="007A675D">
      <w:pPr>
        <w:pStyle w:val="Corpsdetexte"/>
        <w:spacing w:before="2"/>
        <w:rPr>
          <w:rFonts w:ascii="Calibri" w:eastAsia="Calibri" w:hAnsi="Calibri" w:cs="Times New Roman"/>
          <w:sz w:val="22"/>
          <w:szCs w:val="22"/>
        </w:rPr>
      </w:pPr>
    </w:p>
    <w:p w14:paraId="1C59BFAA" w14:textId="77777777" w:rsidR="007A675D" w:rsidRDefault="00000000">
      <w:pPr>
        <w:pStyle w:val="Corpsdetexte"/>
        <w:spacing w:line="254" w:lineRule="auto"/>
        <w:ind w:left="160" w:right="1225"/>
        <w:rPr>
          <w:rFonts w:ascii="Calibri" w:eastAsia="Calibri" w:hAnsi="Calibri" w:cs="Times New Roman"/>
          <w:sz w:val="22"/>
          <w:szCs w:val="22"/>
        </w:rPr>
      </w:pPr>
      <w:r>
        <w:rPr>
          <w:rFonts w:ascii="Calibri" w:eastAsia="Calibri" w:hAnsi="Calibri" w:cs="Times New Roman"/>
          <w:sz w:val="22"/>
          <w:szCs w:val="22"/>
        </w:rPr>
        <w:t>Contact avec les yeux : Rinçage abondant à l'eau pendant 15 minutes les paupières ouvertes puis lavage avec une lotion oculaire type Dacryosérum. Consulter un ophtalmologue en cas de trouble de la vision.</w:t>
      </w:r>
    </w:p>
    <w:p w14:paraId="3A1A8B5D" w14:textId="77777777" w:rsidR="007A675D" w:rsidRDefault="007A675D">
      <w:pPr>
        <w:pStyle w:val="Corpsdetexte"/>
        <w:spacing w:before="3"/>
        <w:rPr>
          <w:rFonts w:ascii="Calibri" w:eastAsia="Calibri" w:hAnsi="Calibri" w:cs="Times New Roman"/>
          <w:sz w:val="22"/>
          <w:szCs w:val="22"/>
        </w:rPr>
      </w:pPr>
    </w:p>
    <w:p w14:paraId="276147E0" w14:textId="77777777" w:rsidR="007A675D" w:rsidRDefault="00000000">
      <w:pPr>
        <w:pStyle w:val="Corpsdetexte"/>
        <w:ind w:left="160"/>
        <w:rPr>
          <w:rFonts w:ascii="Calibri" w:eastAsia="Calibri" w:hAnsi="Calibri" w:cs="Times New Roman"/>
          <w:sz w:val="22"/>
          <w:szCs w:val="22"/>
        </w:rPr>
      </w:pPr>
      <w:r>
        <w:rPr>
          <w:rFonts w:ascii="Calibri" w:eastAsia="Calibri" w:hAnsi="Calibri" w:cs="Times New Roman"/>
          <w:sz w:val="22"/>
          <w:szCs w:val="22"/>
        </w:rPr>
        <w:t>En cas d'ingestion : Se rincer la bouche avec l'eau. Ne pas provoquer de vomissements. Consulter un médecin.</w:t>
      </w:r>
    </w:p>
    <w:p w14:paraId="5A0F3517" w14:textId="77777777" w:rsidR="007A675D" w:rsidRDefault="007A675D">
      <w:pPr>
        <w:pStyle w:val="Corpsdetexte"/>
        <w:spacing w:before="3"/>
        <w:rPr>
          <w:rFonts w:ascii="Calibri" w:eastAsia="Calibri" w:hAnsi="Calibri" w:cs="Times New Roman"/>
          <w:sz w:val="22"/>
          <w:szCs w:val="22"/>
        </w:rPr>
      </w:pPr>
    </w:p>
    <w:p w14:paraId="14748F98" w14:textId="77777777" w:rsidR="007A675D" w:rsidRDefault="00000000">
      <w:pPr>
        <w:pStyle w:val="Corpsdetexte"/>
        <w:ind w:left="160"/>
        <w:rPr>
          <w:rFonts w:ascii="Calibri" w:eastAsia="Calibri" w:hAnsi="Calibri" w:cs="Times New Roman"/>
          <w:sz w:val="22"/>
          <w:szCs w:val="22"/>
        </w:rPr>
      </w:pPr>
      <w:r>
        <w:rPr>
          <w:rFonts w:ascii="Calibri" w:eastAsia="Calibri" w:hAnsi="Calibri" w:cs="Times New Roman"/>
          <w:sz w:val="22"/>
          <w:szCs w:val="22"/>
        </w:rPr>
        <w:t>En cas d'inhalation : Retirer la personne affectée de la zone d'exposition et la placer à l'air frais. Demander des soins médicaux si les symptômes s'aggravent.</w:t>
      </w:r>
    </w:p>
    <w:p w14:paraId="56B584B2" w14:textId="77777777" w:rsidR="007A675D" w:rsidRDefault="007A675D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</w:p>
    <w:p w14:paraId="0CB08FA3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4.2. Principaux symptômes et effets, aigus et différés</w:t>
      </w:r>
    </w:p>
    <w:tbl>
      <w:tblPr>
        <w:tblStyle w:val="SDSTableWithoutBorders"/>
        <w:tblW w:w="10491" w:type="dxa"/>
        <w:tblLayout w:type="fixed"/>
        <w:tblLook w:val="04A0" w:firstRow="1" w:lastRow="0" w:firstColumn="1" w:lastColumn="0" w:noHBand="0" w:noVBand="1"/>
      </w:tblPr>
      <w:tblGrid>
        <w:gridCol w:w="3685"/>
        <w:gridCol w:w="284"/>
        <w:gridCol w:w="6522"/>
      </w:tblGrid>
      <w:tr w:rsidR="007A675D" w14:paraId="73825704" w14:textId="77777777">
        <w:tc>
          <w:tcPr>
            <w:tcW w:w="3685" w:type="dxa"/>
          </w:tcPr>
          <w:p w14:paraId="6C831410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lastRenderedPageBreak/>
              <w:t>Symptômes/effets</w:t>
            </w:r>
          </w:p>
        </w:tc>
        <w:tc>
          <w:tcPr>
            <w:tcW w:w="284" w:type="dxa"/>
          </w:tcPr>
          <w:p w14:paraId="7BA59E53" w14:textId="77777777" w:rsidR="007A675D" w:rsidRDefault="00000000">
            <w:pPr>
              <w:pStyle w:val="SDSTableTextColonColumn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:</w:t>
            </w:r>
          </w:p>
        </w:tc>
        <w:tc>
          <w:tcPr>
            <w:tcW w:w="6522" w:type="dxa"/>
          </w:tcPr>
          <w:p w14:paraId="1BB7C161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Non considéré comme dangereux dans des conditions normales d’utilisation.</w:t>
            </w:r>
          </w:p>
        </w:tc>
      </w:tr>
    </w:tbl>
    <w:p w14:paraId="6A5117CE" w14:textId="77777777" w:rsidR="007A675D" w:rsidRDefault="007A675D">
      <w:pPr>
        <w:spacing w:before="120" w:after="120" w:line="240" w:lineRule="auto"/>
      </w:pPr>
    </w:p>
    <w:p w14:paraId="440B34A5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4.3. Indication des éventuels soins médicaux immédiats et traitements particuliers nécessaires</w:t>
      </w:r>
    </w:p>
    <w:p w14:paraId="7CEF6C9D" w14:textId="77777777" w:rsidR="007A675D" w:rsidRDefault="00000000">
      <w:pPr>
        <w:spacing w:before="120" w:after="120" w:line="240" w:lineRule="auto"/>
      </w:pPr>
      <w:r>
        <w:t>Traitement symptomatique.</w:t>
      </w:r>
    </w:p>
    <w:p w14:paraId="0826B89A" w14:textId="77777777" w:rsidR="007A675D" w:rsidRDefault="007A675D">
      <w:pPr>
        <w:spacing w:before="120" w:after="120" w:line="240" w:lineRule="auto"/>
        <w:rPr>
          <w:rFonts w:cs="Calibri"/>
          <w:sz w:val="20"/>
          <w:szCs w:val="20"/>
        </w:rPr>
      </w:pPr>
    </w:p>
    <w:p w14:paraId="50849F45" w14:textId="77777777" w:rsidR="007A675D" w:rsidRDefault="00000000">
      <w:pPr>
        <w:shd w:val="clear" w:color="auto" w:fill="8EAADB" w:themeFill="accent1" w:themeFillTint="99"/>
        <w:spacing w:before="120" w:after="12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RUBRIQUE 5 : Mesures de lutte contre l’incendie</w:t>
      </w:r>
    </w:p>
    <w:p w14:paraId="0ADF042B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5.1. Moyens d’extinction</w:t>
      </w:r>
    </w:p>
    <w:p w14:paraId="28AFA0E4" w14:textId="77777777" w:rsidR="007A675D" w:rsidRDefault="00000000">
      <w:pPr>
        <w:spacing w:before="120" w:after="120" w:line="240" w:lineRule="auto"/>
        <w:rPr>
          <w:rFonts w:cs="Calibri"/>
          <w:sz w:val="20"/>
          <w:szCs w:val="20"/>
        </w:rPr>
      </w:pPr>
      <w:r>
        <w:t>Moyens d’extinction appropriés : Eau pulvérisée. Poudre sèche. Mousse. Dioxyde de carbone.</w:t>
      </w:r>
    </w:p>
    <w:p w14:paraId="74BC184D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5.2. Dangers particuliers résultant de la substance ou du mélange</w:t>
      </w:r>
    </w:p>
    <w:p w14:paraId="6EFD3B21" w14:textId="77777777" w:rsidR="007A675D" w:rsidRDefault="00000000">
      <w:pPr>
        <w:spacing w:before="120" w:after="120" w:line="240" w:lineRule="auto"/>
        <w:rPr>
          <w:rFonts w:cs="Calibri"/>
          <w:sz w:val="20"/>
          <w:szCs w:val="20"/>
        </w:rPr>
      </w:pPr>
      <w:r>
        <w:t>Produits de décomposition dangereux en cas d’incendie : Dégagement possible de fumées toxiques.</w:t>
      </w:r>
    </w:p>
    <w:p w14:paraId="03D25641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5.3. Conseils aux pompiers</w:t>
      </w:r>
    </w:p>
    <w:p w14:paraId="3743B96E" w14:textId="77777777" w:rsidR="007A675D" w:rsidRDefault="00000000">
      <w:pPr>
        <w:spacing w:before="120" w:after="120" w:line="240" w:lineRule="auto"/>
        <w:rPr>
          <w:rFonts w:cs="Calibri"/>
          <w:sz w:val="20"/>
          <w:szCs w:val="20"/>
        </w:rPr>
      </w:pPr>
      <w:r>
        <w:t>Protection en cas d’incendie : Ne pas intervenir sans un équipement de protection adapté. Appareil de protection respiratoire autonome isolant. Protection complète du corps.</w:t>
      </w:r>
    </w:p>
    <w:p w14:paraId="3C2D852E" w14:textId="77777777" w:rsidR="007A675D" w:rsidRDefault="00000000">
      <w:pPr>
        <w:shd w:val="clear" w:color="auto" w:fill="8EAADB" w:themeFill="accent1" w:themeFillTint="99"/>
        <w:spacing w:before="120" w:after="12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RUBRIQUE 6 : Mesures à prendre en cas de déversement accidentel</w:t>
      </w:r>
    </w:p>
    <w:p w14:paraId="395B15D8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6.1. Précautions individuelles, équipement de protection et procédures d’urgence</w:t>
      </w:r>
    </w:p>
    <w:p w14:paraId="7661DB07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Récupérer le maximum de produit et le stocker dans des récipients hermétiques.</w:t>
      </w:r>
    </w:p>
    <w:p w14:paraId="231C9A66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Assurer une aération suffisante.</w:t>
      </w:r>
    </w:p>
    <w:p w14:paraId="1B5C0277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6.2. Précautions pour la protection de l’environnement</w:t>
      </w:r>
    </w:p>
    <w:p w14:paraId="33D746AE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Eviter le rejet à l’égout, ne pas laisser s’écouler les résidus de cire dans les eaux courantes.</w:t>
      </w:r>
    </w:p>
    <w:p w14:paraId="64BF4492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6.3. Méthodes et matériel de confinement et de nettoyage</w:t>
      </w:r>
    </w:p>
    <w:p w14:paraId="18B67A32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Récupérer le maximum de produit et le stocker dans des récipients hermétiques.</w:t>
      </w:r>
    </w:p>
    <w:p w14:paraId="2B7A8BE2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6.4. Référence à d'autres rubriques</w:t>
      </w:r>
    </w:p>
    <w:p w14:paraId="17552E07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Voir rubrique 13</w:t>
      </w:r>
    </w:p>
    <w:p w14:paraId="39D37C9D" w14:textId="77777777" w:rsidR="007A675D" w:rsidRDefault="00000000">
      <w:pPr>
        <w:shd w:val="clear" w:color="auto" w:fill="8EAADB" w:themeFill="accent1" w:themeFillTint="99"/>
        <w:spacing w:before="120" w:after="12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RUBRIQUE 7 : Manipulation et stockage</w:t>
      </w:r>
    </w:p>
    <w:p w14:paraId="0160641D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7.1. Précautions à prendre pour une manipulation sans danger</w:t>
      </w:r>
    </w:p>
    <w:p w14:paraId="69ED4E2D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Maintenir les lieux propres et ordonnés. Se laver les mains après utilisation, ne pas manger boire et fumer durant l’utilisation.</w:t>
      </w:r>
    </w:p>
    <w:p w14:paraId="4FDD038B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7.2. Conditions nécessaires pour assurer la sécurité du stockage, tenant compte d’éventuelles incompatibilités</w:t>
      </w:r>
    </w:p>
    <w:p w14:paraId="6CDDBFB7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Température de stockage minimale conseillée : 5°C</w:t>
      </w:r>
    </w:p>
    <w:p w14:paraId="1210AF9E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Température de stockage maximale conseillée : 35°C</w:t>
      </w:r>
    </w:p>
    <w:p w14:paraId="252DF5AD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lastRenderedPageBreak/>
        <w:t>Condition de stockage : Conserver uniquement dans le récipient d’origine dans un endroit frais et bien ventilé. Garder les conteneurs fermés en dehors de leur utilisation.</w:t>
      </w:r>
    </w:p>
    <w:p w14:paraId="6F36A6F1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Produits incompatibles : Bases fortes et acides forts</w:t>
      </w:r>
    </w:p>
    <w:p w14:paraId="1EAF5521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Matières incompatibles : Source d’inflammation. Rayons directs du soleil.</w:t>
      </w:r>
    </w:p>
    <w:p w14:paraId="476183EB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Durée de stockage maximale : 12 mois.</w:t>
      </w:r>
    </w:p>
    <w:p w14:paraId="030E994E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7.3. Utilisation(s) finale(s) particulière(s)</w:t>
      </w:r>
    </w:p>
    <w:p w14:paraId="621BEB06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Pas d’informations complémentaires disponibles.</w:t>
      </w:r>
    </w:p>
    <w:p w14:paraId="64142D08" w14:textId="77777777" w:rsidR="007A675D" w:rsidRDefault="00000000">
      <w:pPr>
        <w:shd w:val="clear" w:color="auto" w:fill="8EAADB" w:themeFill="accent1" w:themeFillTint="99"/>
        <w:spacing w:before="120" w:after="12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RUBRIQUE 8 : Contrôles de l’exposition/Protection individuelle</w:t>
      </w:r>
    </w:p>
    <w:p w14:paraId="7510734E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8.1. Paramètres de contrôle</w:t>
      </w:r>
    </w:p>
    <w:p w14:paraId="13246AA7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Pas d’informations complémentaires disponibles.</w:t>
      </w:r>
    </w:p>
    <w:p w14:paraId="771C511F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8.2. Contrôles de l’exposition</w:t>
      </w:r>
    </w:p>
    <w:p w14:paraId="146104E8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Equipements de protection individuelle : Eviter toute exposition inutile.</w:t>
      </w:r>
    </w:p>
    <w:p w14:paraId="6905E875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Autres informations : Ne pas manger, ne pas boire et ne pas fumer pendant l’utilisation.</w:t>
      </w:r>
    </w:p>
    <w:p w14:paraId="22B3C8D7" w14:textId="77777777" w:rsidR="007A675D" w:rsidRDefault="007A675D">
      <w:pPr>
        <w:spacing w:before="120" w:after="120" w:line="240" w:lineRule="auto"/>
        <w:rPr>
          <w:rFonts w:cs="Calibri"/>
        </w:rPr>
      </w:pPr>
    </w:p>
    <w:p w14:paraId="662CAF01" w14:textId="77777777" w:rsidR="007A675D" w:rsidRDefault="00000000">
      <w:pPr>
        <w:shd w:val="clear" w:color="auto" w:fill="8EAADB" w:themeFill="accent1" w:themeFillTint="99"/>
        <w:spacing w:before="120" w:after="12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RUBRIQUE 9 : Propriétés physiques et chimiques</w:t>
      </w:r>
    </w:p>
    <w:p w14:paraId="5B429D77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9.1. Informations sur les propriétés physiques et chimiques essentielles</w:t>
      </w:r>
    </w:p>
    <w:p w14:paraId="259FD1D9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État physique : solide</w:t>
      </w:r>
    </w:p>
    <w:p w14:paraId="7F422FB8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Couleur : Blanchâtre</w:t>
      </w:r>
    </w:p>
    <w:p w14:paraId="292DA766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Odeur : Caractéristique</w:t>
      </w:r>
    </w:p>
    <w:p w14:paraId="577BA9C7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Point de fusion/point de congélation : 50°C</w:t>
      </w:r>
    </w:p>
    <w:p w14:paraId="3E2D1A33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Point d’ébullition ou point initial d’ébullition et intervalle d’ébullition : aucune donnée disponible</w:t>
      </w:r>
    </w:p>
    <w:p w14:paraId="6352E760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Inflammabilité : aucune donnée disponible</w:t>
      </w:r>
    </w:p>
    <w:p w14:paraId="7E832756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Point d’éclair : 200°C</w:t>
      </w:r>
    </w:p>
    <w:p w14:paraId="088909CD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Température d’auto-inflammation : aucune donnée disponible</w:t>
      </w:r>
    </w:p>
    <w:p w14:paraId="0C49C52F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pH : aucune donnée disponible</w:t>
      </w:r>
    </w:p>
    <w:p w14:paraId="051E4909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Viscosité cinématique : aucune donnée disponible</w:t>
      </w:r>
    </w:p>
    <w:p w14:paraId="75E49125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Solubilité : non soluble</w:t>
      </w:r>
    </w:p>
    <w:p w14:paraId="5CA11F17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9.2. Autres informations</w:t>
      </w:r>
    </w:p>
    <w:p w14:paraId="2C32AFDD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Pas d’informations complémentaires disponibles.</w:t>
      </w:r>
    </w:p>
    <w:p w14:paraId="2F918A73" w14:textId="77777777" w:rsidR="007A675D" w:rsidRDefault="00000000">
      <w:pPr>
        <w:shd w:val="clear" w:color="auto" w:fill="8EAADB" w:themeFill="accent1" w:themeFillTint="99"/>
        <w:spacing w:before="120" w:after="12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RUBRIQUE 10 : Stabilité et réactivité</w:t>
      </w:r>
    </w:p>
    <w:p w14:paraId="7D793D75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10.1. Réactivité</w:t>
      </w:r>
    </w:p>
    <w:p w14:paraId="2F37AFFC" w14:textId="77777777" w:rsidR="007A675D" w:rsidRDefault="00000000">
      <w:pPr>
        <w:spacing w:before="120" w:after="120" w:line="240" w:lineRule="auto"/>
        <w:rPr>
          <w:rFonts w:cs="Calibri"/>
          <w:sz w:val="20"/>
          <w:szCs w:val="20"/>
        </w:rPr>
      </w:pPr>
      <w:r>
        <w:t>Le produit n’est pas réactif dans les conditions normales d’utilisation, de stockage et de transport.</w:t>
      </w:r>
    </w:p>
    <w:p w14:paraId="06672167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10.2. Stabilité chimique</w:t>
      </w:r>
    </w:p>
    <w:p w14:paraId="3D793181" w14:textId="77777777" w:rsidR="007A675D" w:rsidRDefault="00000000">
      <w:pPr>
        <w:spacing w:before="120" w:after="120" w:line="240" w:lineRule="auto"/>
        <w:rPr>
          <w:rFonts w:cs="Calibri"/>
          <w:sz w:val="20"/>
          <w:szCs w:val="20"/>
        </w:rPr>
      </w:pPr>
      <w:r>
        <w:lastRenderedPageBreak/>
        <w:t>Stable dans les conditions normales.</w:t>
      </w:r>
    </w:p>
    <w:p w14:paraId="6D6CE778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10.3. Possibilité de réactions dangereuses</w:t>
      </w:r>
    </w:p>
    <w:p w14:paraId="05F8DCFC" w14:textId="77777777" w:rsidR="007A675D" w:rsidRDefault="00000000">
      <w:pPr>
        <w:spacing w:before="120" w:after="120" w:line="240" w:lineRule="auto"/>
        <w:rPr>
          <w:rFonts w:cs="Calibri"/>
          <w:sz w:val="20"/>
          <w:szCs w:val="20"/>
        </w:rPr>
      </w:pPr>
      <w:r>
        <w:t>Pas de réaction dangereuse connue dans les conditions normales d’emploi.</w:t>
      </w:r>
    </w:p>
    <w:p w14:paraId="374262B9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10.4. Conditions à éviter</w:t>
      </w:r>
    </w:p>
    <w:p w14:paraId="08D22F5F" w14:textId="77777777" w:rsidR="007A675D" w:rsidRDefault="00000000">
      <w:pPr>
        <w:spacing w:before="120" w:after="120" w:line="240" w:lineRule="auto"/>
        <w:rPr>
          <w:rFonts w:cs="Calibri"/>
          <w:sz w:val="20"/>
          <w:szCs w:val="20"/>
        </w:rPr>
      </w:pPr>
      <w:r>
        <w:t>Aucune dans des conditions de stockage et de manipulation recommandées (voir rubrique 7).</w:t>
      </w:r>
    </w:p>
    <w:p w14:paraId="02701307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10.5. Matières incompatibles</w:t>
      </w:r>
    </w:p>
    <w:p w14:paraId="209699E9" w14:textId="77777777" w:rsidR="007A675D" w:rsidRDefault="00000000">
      <w:pPr>
        <w:spacing w:before="120" w:after="120" w:line="240" w:lineRule="auto"/>
        <w:rPr>
          <w:rFonts w:cs="Calibri"/>
          <w:sz w:val="20"/>
          <w:szCs w:val="20"/>
        </w:rPr>
      </w:pPr>
      <w:r>
        <w:t>Pas d’informations complémentaires disponibles</w:t>
      </w:r>
    </w:p>
    <w:p w14:paraId="4C9B331F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10.6. Produits de décomposition dangereux</w:t>
      </w:r>
    </w:p>
    <w:p w14:paraId="790514EF" w14:textId="77777777" w:rsidR="007A675D" w:rsidRDefault="00000000">
      <w:pPr>
        <w:spacing w:before="120" w:after="120" w:line="240" w:lineRule="auto"/>
      </w:pPr>
      <w:r>
        <w:t>Aucun produit de décomposition dangereux ne devrait être généré dans les conditions normales de stockage et d’emploi.</w:t>
      </w:r>
    </w:p>
    <w:p w14:paraId="53010B83" w14:textId="77777777" w:rsidR="007A675D" w:rsidRDefault="00000000">
      <w:pPr>
        <w:shd w:val="clear" w:color="auto" w:fill="8EAADB" w:themeFill="accent1" w:themeFillTint="99"/>
        <w:spacing w:before="120" w:after="12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RUBRIQUE 11 : Informations toxicologiques</w:t>
      </w:r>
    </w:p>
    <w:tbl>
      <w:tblPr>
        <w:tblStyle w:val="SDSTableWithoutBorders"/>
        <w:tblW w:w="10491" w:type="dxa"/>
        <w:tblLayout w:type="fixed"/>
        <w:tblLook w:val="04A0" w:firstRow="1" w:lastRow="0" w:firstColumn="1" w:lastColumn="0" w:noHBand="0" w:noVBand="1"/>
      </w:tblPr>
      <w:tblGrid>
        <w:gridCol w:w="3685"/>
        <w:gridCol w:w="284"/>
        <w:gridCol w:w="6522"/>
      </w:tblGrid>
      <w:tr w:rsidR="007A675D" w14:paraId="564172A0" w14:textId="77777777">
        <w:tc>
          <w:tcPr>
            <w:tcW w:w="3685" w:type="dxa"/>
          </w:tcPr>
          <w:p w14:paraId="6A236FA3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Toxicité aiguë (orale)</w:t>
            </w:r>
          </w:p>
        </w:tc>
        <w:tc>
          <w:tcPr>
            <w:tcW w:w="284" w:type="dxa"/>
          </w:tcPr>
          <w:p w14:paraId="6C7EB241" w14:textId="77777777" w:rsidR="007A675D" w:rsidRDefault="00000000">
            <w:pPr>
              <w:pStyle w:val="SDSTableTextColonColumn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:</w:t>
            </w:r>
          </w:p>
        </w:tc>
        <w:tc>
          <w:tcPr>
            <w:tcW w:w="6522" w:type="dxa"/>
          </w:tcPr>
          <w:p w14:paraId="538952FC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Non classé</w:t>
            </w:r>
          </w:p>
        </w:tc>
      </w:tr>
      <w:tr w:rsidR="007A675D" w14:paraId="2470BCE0" w14:textId="77777777">
        <w:tc>
          <w:tcPr>
            <w:tcW w:w="3685" w:type="dxa"/>
          </w:tcPr>
          <w:p w14:paraId="27D73F3D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Toxicité aiguë (cutanée)</w:t>
            </w:r>
          </w:p>
        </w:tc>
        <w:tc>
          <w:tcPr>
            <w:tcW w:w="284" w:type="dxa"/>
          </w:tcPr>
          <w:p w14:paraId="07A1DC35" w14:textId="77777777" w:rsidR="007A675D" w:rsidRDefault="00000000">
            <w:pPr>
              <w:pStyle w:val="SDSTableTextColonColumn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:</w:t>
            </w:r>
          </w:p>
        </w:tc>
        <w:tc>
          <w:tcPr>
            <w:tcW w:w="6522" w:type="dxa"/>
          </w:tcPr>
          <w:p w14:paraId="678996F2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Non classé</w:t>
            </w:r>
          </w:p>
        </w:tc>
      </w:tr>
      <w:tr w:rsidR="007A675D" w14:paraId="1141F783" w14:textId="77777777">
        <w:tc>
          <w:tcPr>
            <w:tcW w:w="3685" w:type="dxa"/>
          </w:tcPr>
          <w:p w14:paraId="140A93A0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Toxicité aiguë (Inhalation)</w:t>
            </w:r>
          </w:p>
        </w:tc>
        <w:tc>
          <w:tcPr>
            <w:tcW w:w="284" w:type="dxa"/>
          </w:tcPr>
          <w:p w14:paraId="74CE2814" w14:textId="77777777" w:rsidR="007A675D" w:rsidRDefault="00000000">
            <w:pPr>
              <w:pStyle w:val="SDSTableTextColonColumn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:</w:t>
            </w:r>
          </w:p>
        </w:tc>
        <w:tc>
          <w:tcPr>
            <w:tcW w:w="6522" w:type="dxa"/>
          </w:tcPr>
          <w:p w14:paraId="23E487FF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Non classé</w:t>
            </w:r>
          </w:p>
        </w:tc>
      </w:tr>
    </w:tbl>
    <w:p w14:paraId="2AC12712" w14:textId="77777777" w:rsidR="007A675D" w:rsidRDefault="007A675D">
      <w:pPr>
        <w:spacing w:before="120" w:after="120" w:line="240" w:lineRule="auto"/>
        <w:rPr>
          <w:rFonts w:cs="Calibri"/>
          <w:b/>
          <w:bCs/>
          <w:sz w:val="24"/>
          <w:szCs w:val="24"/>
        </w:rPr>
      </w:pPr>
    </w:p>
    <w:p w14:paraId="4F04A625" w14:textId="77777777" w:rsidR="007A675D" w:rsidRDefault="00000000">
      <w:pPr>
        <w:spacing w:after="5" w:line="259" w:lineRule="auto"/>
        <w:jc w:val="both"/>
      </w:pPr>
      <w:r>
        <w:t>CASHMERAN (33704-61-9) : DL50 orale 2900 mg/kg</w:t>
      </w:r>
    </w:p>
    <w:p w14:paraId="0066B3A9" w14:textId="77777777" w:rsidR="007A675D" w:rsidRDefault="007A675D">
      <w:pPr>
        <w:spacing w:after="5" w:line="259" w:lineRule="auto"/>
        <w:jc w:val="both"/>
      </w:pPr>
    </w:p>
    <w:tbl>
      <w:tblPr>
        <w:tblStyle w:val="SDSTableWithoutBorders"/>
        <w:tblW w:w="10491" w:type="dxa"/>
        <w:tblLayout w:type="fixed"/>
        <w:tblLook w:val="04A0" w:firstRow="1" w:lastRow="0" w:firstColumn="1" w:lastColumn="0" w:noHBand="0" w:noVBand="1"/>
      </w:tblPr>
      <w:tblGrid>
        <w:gridCol w:w="3685"/>
        <w:gridCol w:w="284"/>
        <w:gridCol w:w="6522"/>
      </w:tblGrid>
      <w:tr w:rsidR="007A675D" w14:paraId="369AC07F" w14:textId="77777777">
        <w:tc>
          <w:tcPr>
            <w:tcW w:w="3685" w:type="dxa"/>
          </w:tcPr>
          <w:p w14:paraId="7F07022E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Corrosion cutanée/irritation cutanée</w:t>
            </w:r>
          </w:p>
        </w:tc>
        <w:tc>
          <w:tcPr>
            <w:tcW w:w="284" w:type="dxa"/>
          </w:tcPr>
          <w:p w14:paraId="4AEB89DC" w14:textId="77777777" w:rsidR="007A675D" w:rsidRDefault="00000000">
            <w:pPr>
              <w:pStyle w:val="SDSTableTextColonColumn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:</w:t>
            </w:r>
          </w:p>
        </w:tc>
        <w:tc>
          <w:tcPr>
            <w:tcW w:w="6522" w:type="dxa"/>
          </w:tcPr>
          <w:p w14:paraId="49149B68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Non classé</w:t>
            </w:r>
          </w:p>
        </w:tc>
      </w:tr>
      <w:tr w:rsidR="007A675D" w14:paraId="2870EFBC" w14:textId="77777777">
        <w:tc>
          <w:tcPr>
            <w:tcW w:w="3685" w:type="dxa"/>
          </w:tcPr>
          <w:p w14:paraId="69D78833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Indications complémentaires</w:t>
            </w:r>
          </w:p>
        </w:tc>
        <w:tc>
          <w:tcPr>
            <w:tcW w:w="284" w:type="dxa"/>
          </w:tcPr>
          <w:p w14:paraId="0C90F1FC" w14:textId="77777777" w:rsidR="007A675D" w:rsidRDefault="00000000">
            <w:pPr>
              <w:pStyle w:val="SDSTableTextColonColumn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:</w:t>
            </w:r>
          </w:p>
        </w:tc>
        <w:tc>
          <w:tcPr>
            <w:tcW w:w="6522" w:type="dxa"/>
          </w:tcPr>
          <w:p w14:paraId="2FA001C7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Compte tenu des données disponibles, les critères de classification ne sont pas remplis</w:t>
            </w:r>
          </w:p>
        </w:tc>
      </w:tr>
    </w:tbl>
    <w:p w14:paraId="0FA9BADE" w14:textId="77777777" w:rsidR="007A675D" w:rsidRDefault="007A675D">
      <w:pPr>
        <w:pStyle w:val="SDSTextBlankLine"/>
        <w:rPr>
          <w:rFonts w:ascii="Calibri" w:eastAsia="Calibri" w:hAnsi="Calibri" w:cs="Times New Roman"/>
          <w:sz w:val="22"/>
          <w:szCs w:val="22"/>
          <w:lang w:val="fr-FR" w:eastAsia="en-US"/>
        </w:rPr>
      </w:pPr>
    </w:p>
    <w:tbl>
      <w:tblPr>
        <w:tblStyle w:val="SDSTableWithoutBorders"/>
        <w:tblW w:w="10491" w:type="dxa"/>
        <w:tblLayout w:type="fixed"/>
        <w:tblLook w:val="04A0" w:firstRow="1" w:lastRow="0" w:firstColumn="1" w:lastColumn="0" w:noHBand="0" w:noVBand="1"/>
      </w:tblPr>
      <w:tblGrid>
        <w:gridCol w:w="3685"/>
        <w:gridCol w:w="284"/>
        <w:gridCol w:w="6522"/>
      </w:tblGrid>
      <w:tr w:rsidR="007A675D" w14:paraId="486AA811" w14:textId="77777777">
        <w:tc>
          <w:tcPr>
            <w:tcW w:w="3685" w:type="dxa"/>
          </w:tcPr>
          <w:p w14:paraId="7D7299A2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Lésions oculaires graves/irritation oculaire</w:t>
            </w:r>
          </w:p>
        </w:tc>
        <w:tc>
          <w:tcPr>
            <w:tcW w:w="284" w:type="dxa"/>
          </w:tcPr>
          <w:p w14:paraId="307CC487" w14:textId="77777777" w:rsidR="007A675D" w:rsidRDefault="00000000">
            <w:pPr>
              <w:pStyle w:val="SDSTableTextColonColumn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:</w:t>
            </w:r>
          </w:p>
        </w:tc>
        <w:tc>
          <w:tcPr>
            <w:tcW w:w="6522" w:type="dxa"/>
          </w:tcPr>
          <w:p w14:paraId="3D8C3F71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Non classé</w:t>
            </w:r>
          </w:p>
        </w:tc>
      </w:tr>
      <w:tr w:rsidR="007A675D" w14:paraId="27087806" w14:textId="77777777">
        <w:tc>
          <w:tcPr>
            <w:tcW w:w="3685" w:type="dxa"/>
          </w:tcPr>
          <w:p w14:paraId="3EBE8219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Indications complémentaires</w:t>
            </w:r>
          </w:p>
        </w:tc>
        <w:tc>
          <w:tcPr>
            <w:tcW w:w="284" w:type="dxa"/>
          </w:tcPr>
          <w:p w14:paraId="2D91BE78" w14:textId="77777777" w:rsidR="007A675D" w:rsidRDefault="00000000">
            <w:pPr>
              <w:pStyle w:val="SDSTableTextColonColumn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:</w:t>
            </w:r>
          </w:p>
        </w:tc>
        <w:tc>
          <w:tcPr>
            <w:tcW w:w="6522" w:type="dxa"/>
          </w:tcPr>
          <w:p w14:paraId="4B44BCB6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Compte tenu des données disponibles, les critères de classification ne sont pas remplis</w:t>
            </w:r>
          </w:p>
        </w:tc>
      </w:tr>
    </w:tbl>
    <w:p w14:paraId="0AF132DC" w14:textId="77777777" w:rsidR="007A675D" w:rsidRDefault="007A675D">
      <w:pPr>
        <w:pStyle w:val="SDSTextBlankLine"/>
        <w:rPr>
          <w:rFonts w:ascii="Calibri" w:eastAsia="Calibri" w:hAnsi="Calibri" w:cs="Times New Roman"/>
          <w:sz w:val="22"/>
          <w:szCs w:val="22"/>
          <w:lang w:val="fr-FR" w:eastAsia="en-US"/>
        </w:rPr>
      </w:pPr>
    </w:p>
    <w:tbl>
      <w:tblPr>
        <w:tblStyle w:val="SDSTableWithoutBorders"/>
        <w:tblW w:w="10491" w:type="dxa"/>
        <w:tblLayout w:type="fixed"/>
        <w:tblLook w:val="04A0" w:firstRow="1" w:lastRow="0" w:firstColumn="1" w:lastColumn="0" w:noHBand="0" w:noVBand="1"/>
      </w:tblPr>
      <w:tblGrid>
        <w:gridCol w:w="3685"/>
        <w:gridCol w:w="284"/>
        <w:gridCol w:w="6522"/>
      </w:tblGrid>
      <w:tr w:rsidR="007A675D" w14:paraId="4D45E6C2" w14:textId="77777777">
        <w:tc>
          <w:tcPr>
            <w:tcW w:w="3685" w:type="dxa"/>
          </w:tcPr>
          <w:p w14:paraId="6238C9A2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Sensibilisation respiratoire ou cutanée</w:t>
            </w:r>
          </w:p>
        </w:tc>
        <w:tc>
          <w:tcPr>
            <w:tcW w:w="284" w:type="dxa"/>
          </w:tcPr>
          <w:p w14:paraId="379C3008" w14:textId="77777777" w:rsidR="007A675D" w:rsidRDefault="00000000">
            <w:pPr>
              <w:pStyle w:val="SDSTableTextColonColumn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:</w:t>
            </w:r>
          </w:p>
        </w:tc>
        <w:tc>
          <w:tcPr>
            <w:tcW w:w="6522" w:type="dxa"/>
          </w:tcPr>
          <w:p w14:paraId="7DEB771F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Non classé</w:t>
            </w:r>
          </w:p>
        </w:tc>
      </w:tr>
    </w:tbl>
    <w:p w14:paraId="0DB27C1E" w14:textId="77777777" w:rsidR="007A675D" w:rsidRDefault="007A675D">
      <w:pPr>
        <w:pStyle w:val="SDSTextBlankLine"/>
        <w:rPr>
          <w:rFonts w:ascii="Calibri" w:eastAsia="Calibri" w:hAnsi="Calibri" w:cs="Times New Roman"/>
          <w:sz w:val="22"/>
          <w:szCs w:val="22"/>
          <w:lang w:val="fr-FR" w:eastAsia="en-US"/>
        </w:rPr>
      </w:pPr>
    </w:p>
    <w:tbl>
      <w:tblPr>
        <w:tblStyle w:val="SDSTableWithoutBorders"/>
        <w:tblW w:w="10491" w:type="dxa"/>
        <w:tblLayout w:type="fixed"/>
        <w:tblLook w:val="04A0" w:firstRow="1" w:lastRow="0" w:firstColumn="1" w:lastColumn="0" w:noHBand="0" w:noVBand="1"/>
      </w:tblPr>
      <w:tblGrid>
        <w:gridCol w:w="3685"/>
        <w:gridCol w:w="284"/>
        <w:gridCol w:w="6522"/>
      </w:tblGrid>
      <w:tr w:rsidR="007A675D" w14:paraId="47F4F2AF" w14:textId="77777777">
        <w:tc>
          <w:tcPr>
            <w:tcW w:w="3685" w:type="dxa"/>
          </w:tcPr>
          <w:p w14:paraId="135043FF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Mutagénicité sur les cellules germinales</w:t>
            </w:r>
          </w:p>
        </w:tc>
        <w:tc>
          <w:tcPr>
            <w:tcW w:w="284" w:type="dxa"/>
          </w:tcPr>
          <w:p w14:paraId="094D50DA" w14:textId="77777777" w:rsidR="007A675D" w:rsidRDefault="00000000">
            <w:pPr>
              <w:pStyle w:val="SDSTableTextColonColumn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:</w:t>
            </w:r>
          </w:p>
        </w:tc>
        <w:tc>
          <w:tcPr>
            <w:tcW w:w="6522" w:type="dxa"/>
          </w:tcPr>
          <w:p w14:paraId="76236C0C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Non classé</w:t>
            </w:r>
          </w:p>
        </w:tc>
      </w:tr>
      <w:tr w:rsidR="007A675D" w14:paraId="43A8E4B7" w14:textId="77777777">
        <w:tc>
          <w:tcPr>
            <w:tcW w:w="3685" w:type="dxa"/>
          </w:tcPr>
          <w:p w14:paraId="1B0EF3D3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Indications complémentaires</w:t>
            </w:r>
          </w:p>
        </w:tc>
        <w:tc>
          <w:tcPr>
            <w:tcW w:w="284" w:type="dxa"/>
          </w:tcPr>
          <w:p w14:paraId="27ACADBC" w14:textId="77777777" w:rsidR="007A675D" w:rsidRDefault="00000000">
            <w:pPr>
              <w:pStyle w:val="SDSTableTextColonColumn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:</w:t>
            </w:r>
          </w:p>
        </w:tc>
        <w:tc>
          <w:tcPr>
            <w:tcW w:w="6522" w:type="dxa"/>
          </w:tcPr>
          <w:p w14:paraId="2691D519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Compte tenu des données disponibles, les critères de classification ne sont pas remplis</w:t>
            </w:r>
          </w:p>
        </w:tc>
      </w:tr>
    </w:tbl>
    <w:p w14:paraId="415B2901" w14:textId="77777777" w:rsidR="007A675D" w:rsidRDefault="007A675D">
      <w:pPr>
        <w:pStyle w:val="SDSTextBlankLine"/>
        <w:rPr>
          <w:rFonts w:ascii="Calibri" w:eastAsia="Calibri" w:hAnsi="Calibri" w:cs="Times New Roman"/>
          <w:sz w:val="22"/>
          <w:szCs w:val="22"/>
          <w:lang w:val="fr-FR" w:eastAsia="en-US"/>
        </w:rPr>
      </w:pPr>
    </w:p>
    <w:tbl>
      <w:tblPr>
        <w:tblStyle w:val="SDSTableWithoutBorders"/>
        <w:tblW w:w="10491" w:type="dxa"/>
        <w:tblLayout w:type="fixed"/>
        <w:tblLook w:val="04A0" w:firstRow="1" w:lastRow="0" w:firstColumn="1" w:lastColumn="0" w:noHBand="0" w:noVBand="1"/>
      </w:tblPr>
      <w:tblGrid>
        <w:gridCol w:w="3685"/>
        <w:gridCol w:w="284"/>
        <w:gridCol w:w="6522"/>
      </w:tblGrid>
      <w:tr w:rsidR="007A675D" w14:paraId="59B0ADF7" w14:textId="77777777">
        <w:tc>
          <w:tcPr>
            <w:tcW w:w="3685" w:type="dxa"/>
          </w:tcPr>
          <w:p w14:paraId="6140F41C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Cancérogénicité</w:t>
            </w:r>
          </w:p>
        </w:tc>
        <w:tc>
          <w:tcPr>
            <w:tcW w:w="284" w:type="dxa"/>
          </w:tcPr>
          <w:p w14:paraId="13E1D3D4" w14:textId="77777777" w:rsidR="007A675D" w:rsidRDefault="00000000">
            <w:pPr>
              <w:pStyle w:val="SDSTableTextColonColumn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:</w:t>
            </w:r>
          </w:p>
        </w:tc>
        <w:tc>
          <w:tcPr>
            <w:tcW w:w="6522" w:type="dxa"/>
          </w:tcPr>
          <w:p w14:paraId="598836F1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Non classé</w:t>
            </w:r>
          </w:p>
        </w:tc>
      </w:tr>
      <w:tr w:rsidR="007A675D" w14:paraId="222D725F" w14:textId="77777777">
        <w:tc>
          <w:tcPr>
            <w:tcW w:w="3685" w:type="dxa"/>
          </w:tcPr>
          <w:p w14:paraId="6A0EC494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Indications complémentaires</w:t>
            </w:r>
          </w:p>
        </w:tc>
        <w:tc>
          <w:tcPr>
            <w:tcW w:w="284" w:type="dxa"/>
          </w:tcPr>
          <w:p w14:paraId="53985887" w14:textId="77777777" w:rsidR="007A675D" w:rsidRDefault="00000000">
            <w:pPr>
              <w:pStyle w:val="SDSTableTextColonColumn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:</w:t>
            </w:r>
          </w:p>
        </w:tc>
        <w:tc>
          <w:tcPr>
            <w:tcW w:w="6522" w:type="dxa"/>
          </w:tcPr>
          <w:p w14:paraId="16890910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 xml:space="preserve">Compte tenu des données disponibles, les critères de classification ne sont pas remplis </w:t>
            </w:r>
          </w:p>
        </w:tc>
      </w:tr>
    </w:tbl>
    <w:p w14:paraId="44896BE5" w14:textId="77777777" w:rsidR="007A675D" w:rsidRDefault="007A675D">
      <w:pPr>
        <w:pStyle w:val="SDSTextBlankLine"/>
        <w:rPr>
          <w:rFonts w:ascii="Calibri" w:eastAsia="Calibri" w:hAnsi="Calibri" w:cs="Times New Roman"/>
          <w:sz w:val="22"/>
          <w:szCs w:val="22"/>
          <w:lang w:val="fr-FR" w:eastAsia="en-US"/>
        </w:rPr>
      </w:pPr>
    </w:p>
    <w:tbl>
      <w:tblPr>
        <w:tblStyle w:val="SDSTableWithoutBorders"/>
        <w:tblW w:w="10490" w:type="dxa"/>
        <w:tblLayout w:type="fixed"/>
        <w:tblLook w:val="04A0" w:firstRow="1" w:lastRow="0" w:firstColumn="1" w:lastColumn="0" w:noHBand="0" w:noVBand="1"/>
      </w:tblPr>
      <w:tblGrid>
        <w:gridCol w:w="3686"/>
        <w:gridCol w:w="283"/>
        <w:gridCol w:w="6521"/>
      </w:tblGrid>
      <w:tr w:rsidR="007A675D" w14:paraId="7DF4A26F" w14:textId="77777777">
        <w:tc>
          <w:tcPr>
            <w:tcW w:w="3686" w:type="dxa"/>
          </w:tcPr>
          <w:p w14:paraId="66FD11AC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Toxicité pour la reproduction</w:t>
            </w:r>
          </w:p>
        </w:tc>
        <w:tc>
          <w:tcPr>
            <w:tcW w:w="283" w:type="dxa"/>
          </w:tcPr>
          <w:p w14:paraId="159BD964" w14:textId="77777777" w:rsidR="007A675D" w:rsidRDefault="00000000">
            <w:pPr>
              <w:pStyle w:val="SDSTableTextColonColumn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:</w:t>
            </w:r>
          </w:p>
        </w:tc>
        <w:tc>
          <w:tcPr>
            <w:tcW w:w="6521" w:type="dxa"/>
          </w:tcPr>
          <w:p w14:paraId="16EF8601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Non classé</w:t>
            </w:r>
          </w:p>
        </w:tc>
      </w:tr>
      <w:tr w:rsidR="007A675D" w14:paraId="054FC81D" w14:textId="77777777">
        <w:tc>
          <w:tcPr>
            <w:tcW w:w="3686" w:type="dxa"/>
          </w:tcPr>
          <w:p w14:paraId="2D0886DE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Indications complémentaires</w:t>
            </w:r>
          </w:p>
        </w:tc>
        <w:tc>
          <w:tcPr>
            <w:tcW w:w="283" w:type="dxa"/>
          </w:tcPr>
          <w:p w14:paraId="3B2AC6F2" w14:textId="77777777" w:rsidR="007A675D" w:rsidRDefault="00000000">
            <w:pPr>
              <w:pStyle w:val="SDSTableTextColonColumn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:</w:t>
            </w:r>
          </w:p>
        </w:tc>
        <w:tc>
          <w:tcPr>
            <w:tcW w:w="6521" w:type="dxa"/>
          </w:tcPr>
          <w:p w14:paraId="731EF2A6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Compte tenu des données disponibles, les critères de classification ne sont pas remplis</w:t>
            </w:r>
          </w:p>
        </w:tc>
      </w:tr>
    </w:tbl>
    <w:p w14:paraId="60BCB31C" w14:textId="77777777" w:rsidR="007A675D" w:rsidRDefault="007A675D">
      <w:pPr>
        <w:pStyle w:val="SDSTextBlankLine"/>
        <w:rPr>
          <w:rFonts w:ascii="Calibri" w:eastAsia="Calibri" w:hAnsi="Calibri" w:cs="Times New Roman"/>
          <w:sz w:val="22"/>
          <w:szCs w:val="22"/>
          <w:lang w:val="fr-FR" w:eastAsia="en-US"/>
        </w:rPr>
      </w:pPr>
    </w:p>
    <w:tbl>
      <w:tblPr>
        <w:tblStyle w:val="SDSTableWithoutBorders"/>
        <w:tblW w:w="10491" w:type="dxa"/>
        <w:tblLayout w:type="fixed"/>
        <w:tblLook w:val="04A0" w:firstRow="1" w:lastRow="0" w:firstColumn="1" w:lastColumn="0" w:noHBand="0" w:noVBand="1"/>
      </w:tblPr>
      <w:tblGrid>
        <w:gridCol w:w="3685"/>
        <w:gridCol w:w="284"/>
        <w:gridCol w:w="6522"/>
      </w:tblGrid>
      <w:tr w:rsidR="007A675D" w14:paraId="012661B9" w14:textId="77777777">
        <w:tc>
          <w:tcPr>
            <w:tcW w:w="3685" w:type="dxa"/>
          </w:tcPr>
          <w:p w14:paraId="42302A50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Toxicité spécifique pour certains organes cibles (STOT) (exposition unique)</w:t>
            </w:r>
          </w:p>
        </w:tc>
        <w:tc>
          <w:tcPr>
            <w:tcW w:w="284" w:type="dxa"/>
          </w:tcPr>
          <w:p w14:paraId="4CD4238A" w14:textId="77777777" w:rsidR="007A675D" w:rsidRDefault="00000000">
            <w:pPr>
              <w:pStyle w:val="SDSTableTextColonColumn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:</w:t>
            </w:r>
          </w:p>
        </w:tc>
        <w:tc>
          <w:tcPr>
            <w:tcW w:w="6522" w:type="dxa"/>
          </w:tcPr>
          <w:p w14:paraId="0164553B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Non classé</w:t>
            </w:r>
          </w:p>
        </w:tc>
      </w:tr>
      <w:tr w:rsidR="007A675D" w14:paraId="66123297" w14:textId="77777777">
        <w:tc>
          <w:tcPr>
            <w:tcW w:w="3685" w:type="dxa"/>
          </w:tcPr>
          <w:p w14:paraId="387FACE8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Indications complémentaires</w:t>
            </w:r>
          </w:p>
        </w:tc>
        <w:tc>
          <w:tcPr>
            <w:tcW w:w="284" w:type="dxa"/>
          </w:tcPr>
          <w:p w14:paraId="15191630" w14:textId="77777777" w:rsidR="007A675D" w:rsidRDefault="00000000">
            <w:pPr>
              <w:pStyle w:val="SDSTableTextColonColumn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:</w:t>
            </w:r>
          </w:p>
        </w:tc>
        <w:tc>
          <w:tcPr>
            <w:tcW w:w="6522" w:type="dxa"/>
          </w:tcPr>
          <w:p w14:paraId="7E74E8C1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Compte tenu des données disponibles, les critères de classification ne sont pas remplis</w:t>
            </w:r>
          </w:p>
        </w:tc>
      </w:tr>
    </w:tbl>
    <w:p w14:paraId="632BBC12" w14:textId="77777777" w:rsidR="007A675D" w:rsidRDefault="007A675D">
      <w:pPr>
        <w:pStyle w:val="SDSTextBlankLine"/>
        <w:rPr>
          <w:rFonts w:ascii="Calibri" w:eastAsia="Calibri" w:hAnsi="Calibri" w:cs="Times New Roman"/>
          <w:sz w:val="22"/>
          <w:szCs w:val="22"/>
          <w:lang w:val="fr-FR" w:eastAsia="en-US"/>
        </w:rPr>
      </w:pPr>
    </w:p>
    <w:tbl>
      <w:tblPr>
        <w:tblStyle w:val="SDSTableWithoutBorders"/>
        <w:tblW w:w="10490" w:type="dxa"/>
        <w:tblLayout w:type="fixed"/>
        <w:tblLook w:val="04A0" w:firstRow="1" w:lastRow="0" w:firstColumn="1" w:lastColumn="0" w:noHBand="0" w:noVBand="1"/>
      </w:tblPr>
      <w:tblGrid>
        <w:gridCol w:w="3686"/>
        <w:gridCol w:w="283"/>
        <w:gridCol w:w="6521"/>
      </w:tblGrid>
      <w:tr w:rsidR="007A675D" w14:paraId="597FDD25" w14:textId="77777777">
        <w:tc>
          <w:tcPr>
            <w:tcW w:w="3686" w:type="dxa"/>
          </w:tcPr>
          <w:p w14:paraId="1FDAE9FD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Toxicité spécifique pour certains organes cibles (STOT) (exposition répétée)</w:t>
            </w:r>
          </w:p>
        </w:tc>
        <w:tc>
          <w:tcPr>
            <w:tcW w:w="283" w:type="dxa"/>
          </w:tcPr>
          <w:p w14:paraId="2C4F5485" w14:textId="77777777" w:rsidR="007A675D" w:rsidRDefault="00000000">
            <w:pPr>
              <w:pStyle w:val="SDSTableTextColonColumn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:</w:t>
            </w:r>
          </w:p>
        </w:tc>
        <w:tc>
          <w:tcPr>
            <w:tcW w:w="6521" w:type="dxa"/>
          </w:tcPr>
          <w:p w14:paraId="7A6A4256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Non classé</w:t>
            </w:r>
          </w:p>
        </w:tc>
      </w:tr>
      <w:tr w:rsidR="007A675D" w14:paraId="23D9E97F" w14:textId="77777777">
        <w:tc>
          <w:tcPr>
            <w:tcW w:w="3686" w:type="dxa"/>
          </w:tcPr>
          <w:p w14:paraId="1953B0AE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Indications complémentaires</w:t>
            </w:r>
          </w:p>
        </w:tc>
        <w:tc>
          <w:tcPr>
            <w:tcW w:w="283" w:type="dxa"/>
          </w:tcPr>
          <w:p w14:paraId="3AADCDB1" w14:textId="77777777" w:rsidR="007A675D" w:rsidRDefault="00000000">
            <w:pPr>
              <w:pStyle w:val="SDSTableTextColonColumn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:</w:t>
            </w:r>
          </w:p>
        </w:tc>
        <w:tc>
          <w:tcPr>
            <w:tcW w:w="6521" w:type="dxa"/>
          </w:tcPr>
          <w:p w14:paraId="38B8C7E8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Compte tenu des données disponibles, les critères de classification ne sont pas remplis</w:t>
            </w:r>
          </w:p>
        </w:tc>
      </w:tr>
    </w:tbl>
    <w:p w14:paraId="79DF7B49" w14:textId="77777777" w:rsidR="007A675D" w:rsidRDefault="007A675D">
      <w:pPr>
        <w:pStyle w:val="SDSTextBlankLine"/>
        <w:rPr>
          <w:rFonts w:ascii="Calibri" w:eastAsia="Calibri" w:hAnsi="Calibri" w:cs="Times New Roman"/>
          <w:sz w:val="22"/>
          <w:szCs w:val="22"/>
          <w:lang w:val="fr-FR" w:eastAsia="en-US"/>
        </w:rPr>
      </w:pPr>
    </w:p>
    <w:tbl>
      <w:tblPr>
        <w:tblStyle w:val="SDSTableWithoutBorders"/>
        <w:tblW w:w="10491" w:type="dxa"/>
        <w:tblLayout w:type="fixed"/>
        <w:tblLook w:val="04A0" w:firstRow="1" w:lastRow="0" w:firstColumn="1" w:lastColumn="0" w:noHBand="0" w:noVBand="1"/>
      </w:tblPr>
      <w:tblGrid>
        <w:gridCol w:w="3685"/>
        <w:gridCol w:w="284"/>
        <w:gridCol w:w="6522"/>
      </w:tblGrid>
      <w:tr w:rsidR="007A675D" w14:paraId="2DE9AD2B" w14:textId="77777777">
        <w:tc>
          <w:tcPr>
            <w:tcW w:w="3685" w:type="dxa"/>
          </w:tcPr>
          <w:p w14:paraId="0D898AAC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Danger par aspiration</w:t>
            </w:r>
          </w:p>
        </w:tc>
        <w:tc>
          <w:tcPr>
            <w:tcW w:w="284" w:type="dxa"/>
          </w:tcPr>
          <w:p w14:paraId="7099925E" w14:textId="77777777" w:rsidR="007A675D" w:rsidRDefault="00000000">
            <w:pPr>
              <w:pStyle w:val="SDSTableTextColonColumn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:</w:t>
            </w:r>
          </w:p>
        </w:tc>
        <w:tc>
          <w:tcPr>
            <w:tcW w:w="6522" w:type="dxa"/>
          </w:tcPr>
          <w:p w14:paraId="4E910E98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Non classé</w:t>
            </w:r>
          </w:p>
        </w:tc>
      </w:tr>
      <w:tr w:rsidR="007A675D" w14:paraId="0B3D9E30" w14:textId="77777777">
        <w:tc>
          <w:tcPr>
            <w:tcW w:w="3685" w:type="dxa"/>
          </w:tcPr>
          <w:p w14:paraId="78A51D30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Indications complémentaires</w:t>
            </w:r>
          </w:p>
        </w:tc>
        <w:tc>
          <w:tcPr>
            <w:tcW w:w="284" w:type="dxa"/>
          </w:tcPr>
          <w:p w14:paraId="715DC115" w14:textId="77777777" w:rsidR="007A675D" w:rsidRDefault="00000000">
            <w:pPr>
              <w:pStyle w:val="SDSTableTextColonColumn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:</w:t>
            </w:r>
          </w:p>
        </w:tc>
        <w:tc>
          <w:tcPr>
            <w:tcW w:w="6522" w:type="dxa"/>
          </w:tcPr>
          <w:p w14:paraId="34C52C34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Compte tenu des données disponibles, les critères de classification ne sont pas remplis</w:t>
            </w:r>
          </w:p>
        </w:tc>
      </w:tr>
    </w:tbl>
    <w:p w14:paraId="55EA3C00" w14:textId="77777777" w:rsidR="007A675D" w:rsidRDefault="007A675D">
      <w:pPr>
        <w:spacing w:before="120" w:after="120" w:line="240" w:lineRule="auto"/>
        <w:rPr>
          <w:rFonts w:cs="Calibri"/>
          <w:b/>
          <w:bCs/>
          <w:sz w:val="24"/>
          <w:szCs w:val="24"/>
        </w:rPr>
      </w:pPr>
    </w:p>
    <w:p w14:paraId="160CBE6B" w14:textId="77777777" w:rsidR="007A675D" w:rsidRDefault="00000000">
      <w:pPr>
        <w:shd w:val="clear" w:color="auto" w:fill="8EAADB" w:themeFill="accent1" w:themeFillTint="99"/>
        <w:spacing w:before="120" w:after="12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RUBRIQUE 12 : Informations écologiques</w:t>
      </w:r>
    </w:p>
    <w:p w14:paraId="01F1D05D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12.1. Toxicité</w:t>
      </w:r>
    </w:p>
    <w:p w14:paraId="34D329D2" w14:textId="77777777" w:rsidR="007A675D" w:rsidRDefault="007A675D">
      <w:pPr>
        <w:spacing w:before="120" w:after="120" w:line="240" w:lineRule="auto"/>
        <w:rPr>
          <w:rFonts w:cs="Calibri"/>
          <w:sz w:val="28"/>
          <w:szCs w:val="28"/>
        </w:rPr>
      </w:pPr>
    </w:p>
    <w:tbl>
      <w:tblPr>
        <w:tblStyle w:val="SDSTableWithoutBorders"/>
        <w:tblW w:w="10490" w:type="dxa"/>
        <w:tblLayout w:type="fixed"/>
        <w:tblLook w:val="04A0" w:firstRow="1" w:lastRow="0" w:firstColumn="1" w:lastColumn="0" w:noHBand="0" w:noVBand="1"/>
      </w:tblPr>
      <w:tblGrid>
        <w:gridCol w:w="3686"/>
        <w:gridCol w:w="284"/>
        <w:gridCol w:w="6520"/>
      </w:tblGrid>
      <w:tr w:rsidR="007A675D" w14:paraId="07881957" w14:textId="77777777">
        <w:tc>
          <w:tcPr>
            <w:tcW w:w="3686" w:type="dxa"/>
          </w:tcPr>
          <w:p w14:paraId="23F83350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Dangers pour le milieu aquatique, à court terme (aiguë)</w:t>
            </w:r>
          </w:p>
        </w:tc>
        <w:tc>
          <w:tcPr>
            <w:tcW w:w="284" w:type="dxa"/>
          </w:tcPr>
          <w:p w14:paraId="03D53C43" w14:textId="77777777" w:rsidR="007A675D" w:rsidRDefault="00000000">
            <w:pPr>
              <w:pStyle w:val="SDSTableTextColonColumn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:</w:t>
            </w:r>
          </w:p>
        </w:tc>
        <w:tc>
          <w:tcPr>
            <w:tcW w:w="6520" w:type="dxa"/>
          </w:tcPr>
          <w:p w14:paraId="267592A9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fr-FR" w:eastAsia="en-US"/>
              </w:rPr>
              <w:t>Nocif pour les organismes aquatiques, entraîne des effets néfastes à long terme.</w:t>
            </w:r>
          </w:p>
        </w:tc>
      </w:tr>
      <w:tr w:rsidR="007A675D" w14:paraId="6592DE73" w14:textId="77777777">
        <w:tc>
          <w:tcPr>
            <w:tcW w:w="3686" w:type="dxa"/>
          </w:tcPr>
          <w:p w14:paraId="0B40DE13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Dangers pour le milieu aquatique, à long terme (chronique)</w:t>
            </w:r>
          </w:p>
        </w:tc>
        <w:tc>
          <w:tcPr>
            <w:tcW w:w="284" w:type="dxa"/>
          </w:tcPr>
          <w:p w14:paraId="52942C9C" w14:textId="77777777" w:rsidR="007A675D" w:rsidRDefault="00000000">
            <w:pPr>
              <w:pStyle w:val="SDSTableTextColonColumn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  <w:t>:</w:t>
            </w:r>
          </w:p>
        </w:tc>
        <w:tc>
          <w:tcPr>
            <w:tcW w:w="6520" w:type="dxa"/>
          </w:tcPr>
          <w:p w14:paraId="19802EDF" w14:textId="77777777" w:rsidR="007A675D" w:rsidRDefault="00000000">
            <w:pPr>
              <w:pStyle w:val="SDSTableTextNormal"/>
              <w:rPr>
                <w:rFonts w:ascii="Calibri" w:eastAsia="Calibri" w:hAnsi="Calibri" w:cs="Times New Roman"/>
                <w:sz w:val="22"/>
                <w:szCs w:val="22"/>
                <w:lang w:val="fr-FR"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fr-FR" w:eastAsia="en-US"/>
              </w:rPr>
              <w:t>Nocif pour les organismes aquatiques, entraîne des effets néfastes à long terme.</w:t>
            </w:r>
          </w:p>
        </w:tc>
      </w:tr>
    </w:tbl>
    <w:p w14:paraId="4E6CDFE2" w14:textId="77777777" w:rsidR="007A675D" w:rsidRDefault="007A675D">
      <w:pPr>
        <w:pStyle w:val="Corpsdetexte"/>
        <w:spacing w:line="254" w:lineRule="auto"/>
        <w:ind w:right="3546"/>
        <w:rPr>
          <w:rFonts w:ascii="Calibri" w:eastAsia="Calibri" w:hAnsi="Calibri" w:cs="Times New Roman"/>
          <w:sz w:val="22"/>
          <w:szCs w:val="22"/>
        </w:rPr>
      </w:pPr>
    </w:p>
    <w:p w14:paraId="41D5AF7A" w14:textId="77777777" w:rsidR="007A675D" w:rsidRDefault="00000000">
      <w:pPr>
        <w:spacing w:after="5" w:line="259" w:lineRule="auto"/>
        <w:jc w:val="both"/>
      </w:pPr>
      <w:r>
        <w:t>CASHMERAN (33704-61-9) : Persistance et dégradabilité Peut entraîner des effets néfastes à long terme pour l'environnement. Potentiel de bioaccumulation Non établi.</w:t>
      </w:r>
    </w:p>
    <w:p w14:paraId="3DB9B503" w14:textId="77777777" w:rsidR="007A675D" w:rsidRDefault="00000000">
      <w:pPr>
        <w:spacing w:after="5" w:line="259" w:lineRule="auto"/>
        <w:jc w:val="both"/>
      </w:pPr>
      <w:r>
        <w:t>CEDRAMBER (19870-74-7) : Persistance et dégradabilité Rapidement dégradable. Potentiel de bioaccumulation Non établi.</w:t>
      </w:r>
    </w:p>
    <w:p w14:paraId="1861F7D4" w14:textId="77777777" w:rsidR="007A675D" w:rsidRDefault="00000000">
      <w:pPr>
        <w:spacing w:after="5" w:line="259" w:lineRule="auto"/>
        <w:jc w:val="both"/>
      </w:pPr>
      <w:r>
        <w:t>COUMARINE (91-64-5) : Persistance et dégradabilité Peut entraîner des effets néfastes à long terme pour l'environnement. Potentiel de bioaccumulation Non établi.</w:t>
      </w:r>
    </w:p>
    <w:p w14:paraId="016D3B4A" w14:textId="77777777" w:rsidR="007A675D" w:rsidRDefault="00000000">
      <w:pPr>
        <w:spacing w:after="5" w:line="259" w:lineRule="auto"/>
        <w:jc w:val="both"/>
      </w:pPr>
      <w:r>
        <w:t>ISO E SUPER (54464-57-2) : Persistance et dégradabilité Peut entraîner des effets néfastes à long terme pour l'environnement. Potentiel de bioaccumulation Non établi.</w:t>
      </w:r>
    </w:p>
    <w:p w14:paraId="56882CFF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12.2. Persistance et dégradabilité</w:t>
      </w:r>
    </w:p>
    <w:p w14:paraId="4133056F" w14:textId="77777777" w:rsidR="007A675D" w:rsidRDefault="00000000">
      <w:pPr>
        <w:spacing w:after="5" w:line="259" w:lineRule="auto"/>
        <w:jc w:val="both"/>
      </w:pPr>
      <w:r>
        <w:t>Non disponible</w:t>
      </w:r>
    </w:p>
    <w:p w14:paraId="5D644D9D" w14:textId="77777777" w:rsidR="007A675D" w:rsidRDefault="007A675D">
      <w:pPr>
        <w:spacing w:after="5" w:line="259" w:lineRule="auto"/>
        <w:jc w:val="both"/>
      </w:pPr>
    </w:p>
    <w:p w14:paraId="6C025527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12.3. Potentiel de bioaccumulation</w:t>
      </w:r>
    </w:p>
    <w:p w14:paraId="3089A032" w14:textId="77777777" w:rsidR="007A675D" w:rsidRDefault="00000000">
      <w:pPr>
        <w:spacing w:after="5" w:line="259" w:lineRule="auto"/>
        <w:jc w:val="both"/>
      </w:pPr>
      <w:r>
        <w:t>Non disponible</w:t>
      </w:r>
    </w:p>
    <w:p w14:paraId="2AD36EB7" w14:textId="77777777" w:rsidR="007A675D" w:rsidRDefault="007A675D">
      <w:pPr>
        <w:spacing w:after="5" w:line="259" w:lineRule="auto"/>
        <w:jc w:val="both"/>
      </w:pPr>
    </w:p>
    <w:p w14:paraId="0C4B2013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12.4. Mobilité dans le sol</w:t>
      </w:r>
    </w:p>
    <w:p w14:paraId="391A3838" w14:textId="77777777" w:rsidR="007A675D" w:rsidRDefault="00000000">
      <w:pPr>
        <w:spacing w:after="5" w:line="259" w:lineRule="auto"/>
        <w:jc w:val="both"/>
      </w:pPr>
      <w:r>
        <w:t>Non disponible</w:t>
      </w:r>
    </w:p>
    <w:p w14:paraId="3DEB827A" w14:textId="77777777" w:rsidR="007A675D" w:rsidRDefault="007A675D">
      <w:pPr>
        <w:spacing w:after="5" w:line="259" w:lineRule="auto"/>
        <w:jc w:val="both"/>
      </w:pPr>
    </w:p>
    <w:p w14:paraId="0EF95CC3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12.5. Résultats des évaluations PBT et VPVB</w:t>
      </w:r>
    </w:p>
    <w:p w14:paraId="0F686189" w14:textId="77777777" w:rsidR="007A675D" w:rsidRDefault="00000000">
      <w:pPr>
        <w:spacing w:after="5" w:line="259" w:lineRule="auto"/>
        <w:jc w:val="both"/>
      </w:pPr>
      <w:r>
        <w:t>Non disponible</w:t>
      </w:r>
    </w:p>
    <w:p w14:paraId="32727D31" w14:textId="77777777" w:rsidR="007A675D" w:rsidRDefault="007A675D">
      <w:pPr>
        <w:spacing w:after="5" w:line="259" w:lineRule="auto"/>
        <w:jc w:val="both"/>
      </w:pPr>
    </w:p>
    <w:p w14:paraId="6D399205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12.6. Propriétés de perturbation endocrinienne</w:t>
      </w:r>
    </w:p>
    <w:p w14:paraId="54A3C61F" w14:textId="77777777" w:rsidR="007A675D" w:rsidRDefault="00000000">
      <w:pPr>
        <w:spacing w:after="5" w:line="259" w:lineRule="auto"/>
        <w:jc w:val="both"/>
      </w:pPr>
      <w:r>
        <w:t>Non disponible</w:t>
      </w:r>
    </w:p>
    <w:p w14:paraId="29F47A4A" w14:textId="77777777" w:rsidR="007A675D" w:rsidRDefault="007A675D">
      <w:pPr>
        <w:spacing w:after="5" w:line="259" w:lineRule="auto"/>
        <w:jc w:val="both"/>
      </w:pPr>
    </w:p>
    <w:p w14:paraId="2304395C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12.7. Autres effets néfastes</w:t>
      </w:r>
    </w:p>
    <w:p w14:paraId="7419350B" w14:textId="77777777" w:rsidR="007A675D" w:rsidRDefault="00000000">
      <w:pPr>
        <w:spacing w:after="5" w:line="259" w:lineRule="auto"/>
        <w:jc w:val="both"/>
      </w:pPr>
      <w:r>
        <w:t>Non disponible</w:t>
      </w:r>
    </w:p>
    <w:p w14:paraId="0614D0CC" w14:textId="77777777" w:rsidR="007A675D" w:rsidRDefault="007A675D">
      <w:pPr>
        <w:spacing w:after="5" w:line="259" w:lineRule="auto"/>
        <w:jc w:val="both"/>
      </w:pPr>
    </w:p>
    <w:p w14:paraId="679AE7DE" w14:textId="77777777" w:rsidR="007A675D" w:rsidRDefault="007A675D">
      <w:pPr>
        <w:pStyle w:val="Corpsdetexte"/>
        <w:spacing w:line="254" w:lineRule="auto"/>
        <w:ind w:right="3546"/>
        <w:rPr>
          <w:rFonts w:ascii="Calibri" w:eastAsia="Calibri" w:hAnsi="Calibri" w:cs="Times New Roman"/>
          <w:sz w:val="22"/>
          <w:szCs w:val="22"/>
        </w:rPr>
      </w:pPr>
    </w:p>
    <w:p w14:paraId="3CBE0D9C" w14:textId="77777777" w:rsidR="007A675D" w:rsidRDefault="00000000">
      <w:pPr>
        <w:shd w:val="clear" w:color="auto" w:fill="8EAADB" w:themeFill="accent1" w:themeFillTint="99"/>
        <w:spacing w:before="120" w:after="12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RUBRIQUE 13 : Considérations relatives à l’élimination</w:t>
      </w:r>
    </w:p>
    <w:p w14:paraId="621CEAF8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13.1. Méthodes de traitement des déchets</w:t>
      </w:r>
    </w:p>
    <w:p w14:paraId="0A6F0902" w14:textId="77777777" w:rsidR="007A675D" w:rsidRDefault="00000000">
      <w:pPr>
        <w:spacing w:before="120" w:after="120" w:line="240" w:lineRule="auto"/>
        <w:rPr>
          <w:rFonts w:cs="Calibri"/>
          <w:sz w:val="20"/>
          <w:szCs w:val="20"/>
        </w:rPr>
      </w:pPr>
      <w:r>
        <w:t>Méthodes de traitement des déchets : Eliminer le contenu/récipient conformément aux consignes de tri du collecteur agréé.</w:t>
      </w:r>
    </w:p>
    <w:p w14:paraId="60B94E31" w14:textId="77777777" w:rsidR="007A675D" w:rsidRDefault="00000000">
      <w:pPr>
        <w:shd w:val="clear" w:color="auto" w:fill="8EAADB" w:themeFill="accent1" w:themeFillTint="99"/>
        <w:spacing w:before="120" w:after="12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RUBRIQUE 14 : Informations relatives au transport</w:t>
      </w:r>
    </w:p>
    <w:p w14:paraId="3FF99E0B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14.1. Numéro ONU</w:t>
      </w:r>
    </w:p>
    <w:p w14:paraId="6630E994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Non règlementé</w:t>
      </w:r>
    </w:p>
    <w:p w14:paraId="7D7DCDF2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14.2. Nom d’expédition des Nations unies</w:t>
      </w:r>
    </w:p>
    <w:p w14:paraId="5E52AE6E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Non règlementé</w:t>
      </w:r>
    </w:p>
    <w:p w14:paraId="24FA92FF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14.3. Classe(s) de danger pour le transport</w:t>
      </w:r>
    </w:p>
    <w:p w14:paraId="3BE5FCBB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Non règlementé</w:t>
      </w:r>
    </w:p>
    <w:p w14:paraId="011D5F57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14.4. Groupe d’emballage</w:t>
      </w:r>
    </w:p>
    <w:p w14:paraId="5EDF3211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Non règlementé</w:t>
      </w:r>
    </w:p>
    <w:p w14:paraId="3390AF7D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14.5. Dangers pour l’environnement</w:t>
      </w:r>
    </w:p>
    <w:p w14:paraId="50A91045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Non règlementé</w:t>
      </w:r>
    </w:p>
    <w:p w14:paraId="00E21A4F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14.6. Précautions particulières à prendre par l’utilisateur</w:t>
      </w:r>
    </w:p>
    <w:p w14:paraId="7D180A1C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Non règlementé</w:t>
      </w:r>
    </w:p>
    <w:p w14:paraId="1E48C3F8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14.7. Transport en vrac conformément à l’annexe II de la convention MARPOL 73/78 et au recueil IBC</w:t>
      </w:r>
    </w:p>
    <w:p w14:paraId="6892C068" w14:textId="77777777" w:rsidR="007A675D" w:rsidRDefault="00000000">
      <w:pPr>
        <w:spacing w:before="120" w:after="120" w:line="240" w:lineRule="auto"/>
        <w:rPr>
          <w:rFonts w:cs="Calibri"/>
        </w:rPr>
      </w:pPr>
      <w:r>
        <w:rPr>
          <w:rFonts w:cs="Calibri"/>
        </w:rPr>
        <w:t>Non règlementé</w:t>
      </w:r>
    </w:p>
    <w:p w14:paraId="60EC4247" w14:textId="77777777" w:rsidR="007A675D" w:rsidRDefault="00000000">
      <w:pPr>
        <w:shd w:val="clear" w:color="auto" w:fill="8EAADB" w:themeFill="accent1" w:themeFillTint="99"/>
        <w:spacing w:before="120" w:after="12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RUBRIQUE 15 : Informations réglementaires</w:t>
      </w:r>
    </w:p>
    <w:p w14:paraId="62B7783B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15.1. Réglementations/Législation particulières à la substance ou au mélange en matière de sécurité, de santé et d’environnement</w:t>
      </w:r>
    </w:p>
    <w:p w14:paraId="338C527D" w14:textId="77777777" w:rsidR="007A675D" w:rsidRDefault="00000000">
      <w:pPr>
        <w:spacing w:before="120" w:after="120" w:line="240" w:lineRule="auto"/>
      </w:pPr>
      <w:r>
        <w:t xml:space="preserve">Annexe XVII de REACH (Liste de restriction) </w:t>
      </w:r>
    </w:p>
    <w:p w14:paraId="29456432" w14:textId="77777777" w:rsidR="007A675D" w:rsidRDefault="00000000">
      <w:pPr>
        <w:spacing w:before="120" w:after="120" w:line="240" w:lineRule="auto"/>
      </w:pPr>
      <w:r>
        <w:lastRenderedPageBreak/>
        <w:t xml:space="preserve">Ne contient pas de substance(s) listée(s) dans l’Annexe XVII de REACH (Conditions de restriction) </w:t>
      </w:r>
    </w:p>
    <w:p w14:paraId="6621A362" w14:textId="77777777" w:rsidR="007A675D" w:rsidRDefault="00000000">
      <w:pPr>
        <w:spacing w:before="120" w:after="120" w:line="240" w:lineRule="auto"/>
      </w:pPr>
      <w:r>
        <w:t xml:space="preserve">Annexe XIV de REACH (Liste d’autorisation) </w:t>
      </w:r>
    </w:p>
    <w:p w14:paraId="3385E2E9" w14:textId="77777777" w:rsidR="007A675D" w:rsidRDefault="00000000">
      <w:pPr>
        <w:spacing w:before="120" w:after="120" w:line="240" w:lineRule="auto"/>
      </w:pPr>
      <w:r>
        <w:t xml:space="preserve">Ne contient pas de substance(s) listée(s) dans l’annexe XIV de REACH (Liste d’autorisation) </w:t>
      </w:r>
    </w:p>
    <w:p w14:paraId="325EC53C" w14:textId="77777777" w:rsidR="007A675D" w:rsidRDefault="00000000">
      <w:pPr>
        <w:spacing w:before="120" w:after="120" w:line="240" w:lineRule="auto"/>
      </w:pPr>
      <w:r>
        <w:t xml:space="preserve">Liste candidate REACH (SVHC) </w:t>
      </w:r>
    </w:p>
    <w:p w14:paraId="78C1584C" w14:textId="77777777" w:rsidR="007A675D" w:rsidRDefault="00000000">
      <w:pPr>
        <w:spacing w:before="120" w:after="120" w:line="240" w:lineRule="auto"/>
      </w:pPr>
      <w:r>
        <w:t xml:space="preserve">Ne contient pas de substance(s) listée(s) dans la liste des substances candidates de REACH </w:t>
      </w:r>
    </w:p>
    <w:p w14:paraId="2C656315" w14:textId="77777777" w:rsidR="007A675D" w:rsidRDefault="00000000">
      <w:pPr>
        <w:spacing w:before="120" w:after="120" w:line="240" w:lineRule="auto"/>
      </w:pPr>
      <w:r>
        <w:t xml:space="preserve">Règlement PIC (UE 649/2012, consentement préalable en connaissance de cause) </w:t>
      </w:r>
    </w:p>
    <w:p w14:paraId="4896DFB1" w14:textId="77777777" w:rsidR="007A675D" w:rsidRDefault="00000000">
      <w:pPr>
        <w:spacing w:before="120" w:after="120" w:line="240" w:lineRule="auto"/>
      </w:pPr>
      <w:r>
        <w:t xml:space="preserve">Ne contient pas de substance(s) listée(s) dans la liste PIC (Règlement UE 649/2012 concernant les exportations et importations de produits chimiques dangereux) </w:t>
      </w:r>
    </w:p>
    <w:p w14:paraId="5F105294" w14:textId="77777777" w:rsidR="007A675D" w:rsidRDefault="00000000">
      <w:pPr>
        <w:spacing w:before="120" w:after="120" w:line="240" w:lineRule="auto"/>
      </w:pPr>
      <w:r>
        <w:t xml:space="preserve">Règlement POP (UE 2019/1021, polluants organiques persistants) </w:t>
      </w:r>
    </w:p>
    <w:p w14:paraId="103CEA56" w14:textId="77777777" w:rsidR="007A675D" w:rsidRDefault="00000000">
      <w:pPr>
        <w:spacing w:before="120" w:after="120" w:line="240" w:lineRule="auto"/>
      </w:pPr>
      <w:r>
        <w:t xml:space="preserve">Ne contient pas de substance(s) listée(s) dans la liste des POP (règlement UE 2019/1021 sur les polluants organiques persistants) </w:t>
      </w:r>
    </w:p>
    <w:p w14:paraId="0BF68E4E" w14:textId="77777777" w:rsidR="007A675D" w:rsidRDefault="00000000">
      <w:pPr>
        <w:spacing w:before="120" w:after="120" w:line="240" w:lineRule="auto"/>
      </w:pPr>
      <w:r>
        <w:t xml:space="preserve">Règlement sur l’appauvrissement de la couche d’ozone (UE 1005/2009) </w:t>
      </w:r>
    </w:p>
    <w:p w14:paraId="0CBE0E7F" w14:textId="77777777" w:rsidR="007A675D" w:rsidRDefault="00000000">
      <w:pPr>
        <w:spacing w:before="120" w:after="120" w:line="240" w:lineRule="auto"/>
      </w:pPr>
      <w:r>
        <w:t xml:space="preserve">Ne contient aucune substance listée dans la liste des substances appauvrissant la couche d’ozone (Règlement (CE) n° 1005/2009 relatif à des substances appauvrissant la couche d’ozone) </w:t>
      </w:r>
    </w:p>
    <w:p w14:paraId="723ECE8A" w14:textId="77777777" w:rsidR="007A675D" w:rsidRDefault="00000000">
      <w:pPr>
        <w:spacing w:before="120" w:after="120" w:line="240" w:lineRule="auto"/>
      </w:pPr>
      <w:r>
        <w:t xml:space="preserve">Règlement sur les précurseurs d’explosifs (UE 2019/1148) </w:t>
      </w:r>
    </w:p>
    <w:p w14:paraId="6E866B02" w14:textId="77777777" w:rsidR="007A675D" w:rsidRDefault="00000000">
      <w:pPr>
        <w:spacing w:before="120" w:after="120" w:line="240" w:lineRule="auto"/>
      </w:pPr>
      <w:r>
        <w:t xml:space="preserve">Ne contient pas de substance(s) listée(s) dans la liste des précurseurs d’explosifs (Règlement UE 2019/1148 relatif à la commercialisation et à l’utilisation des précurseurs d’explosifs) </w:t>
      </w:r>
    </w:p>
    <w:p w14:paraId="35C414B4" w14:textId="77777777" w:rsidR="007A675D" w:rsidRDefault="00000000">
      <w:pPr>
        <w:spacing w:before="120" w:after="120" w:line="240" w:lineRule="auto"/>
      </w:pPr>
      <w:r>
        <w:t xml:space="preserve">Règlement sur les précurseurs de drogues (CE 273/2004) </w:t>
      </w:r>
    </w:p>
    <w:p w14:paraId="3E5B034D" w14:textId="77777777" w:rsidR="007A675D" w:rsidRDefault="00000000">
      <w:pPr>
        <w:spacing w:before="120" w:after="120" w:line="240" w:lineRule="auto"/>
        <w:rPr>
          <w:rFonts w:cs="Calibri"/>
          <w:sz w:val="20"/>
          <w:szCs w:val="20"/>
        </w:rPr>
      </w:pPr>
      <w:r>
        <w:t>Ne contient pas de substance(s) listée(s) dans la liste des précurseurs de drogues (Règlement CE 273/2004 relatif à la fabrication et à la mise sur le marché de certaines substances utilisées pour la fabrication illicite de stupéfiants et de substances psychotropes)</w:t>
      </w:r>
    </w:p>
    <w:p w14:paraId="449A6682" w14:textId="77777777" w:rsidR="007A675D" w:rsidRDefault="00000000">
      <w:pPr>
        <w:pBdr>
          <w:bottom w:val="single" w:sz="4" w:space="1" w:color="000000"/>
        </w:pBdr>
        <w:spacing w:before="120" w:after="12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15.2. Évaluation de la sécurité chimique</w:t>
      </w:r>
    </w:p>
    <w:p w14:paraId="725B5247" w14:textId="77777777" w:rsidR="007A675D" w:rsidRDefault="00000000">
      <w:pPr>
        <w:spacing w:before="120" w:after="120" w:line="240" w:lineRule="auto"/>
        <w:rPr>
          <w:rFonts w:cs="Calibri"/>
          <w:sz w:val="20"/>
          <w:szCs w:val="20"/>
        </w:rPr>
      </w:pPr>
      <w:r>
        <w:t>Pas d’informations complémentaires disponibles</w:t>
      </w:r>
    </w:p>
    <w:p w14:paraId="347071D1" w14:textId="77777777" w:rsidR="007A675D" w:rsidRDefault="00000000">
      <w:pPr>
        <w:shd w:val="clear" w:color="auto" w:fill="8EAADB" w:themeFill="accent1" w:themeFillTint="99"/>
        <w:spacing w:before="120" w:after="12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RUBRIQUE 16 : Autres informations</w:t>
      </w:r>
    </w:p>
    <w:p w14:paraId="58CB3ADD" w14:textId="77777777" w:rsidR="007A675D" w:rsidRDefault="007A675D">
      <w:pPr>
        <w:spacing w:before="120" w:after="120" w:line="240" w:lineRule="auto"/>
        <w:rPr>
          <w:rFonts w:cs="Calibri"/>
          <w:sz w:val="24"/>
          <w:szCs w:val="24"/>
        </w:rPr>
      </w:pPr>
    </w:p>
    <w:p w14:paraId="079E0542" w14:textId="77777777" w:rsidR="007A675D" w:rsidRDefault="00000000">
      <w:pPr>
        <w:pStyle w:val="Paragraphedeliste"/>
        <w:numPr>
          <w:ilvl w:val="0"/>
          <w:numId w:val="1"/>
        </w:numPr>
        <w:spacing w:before="120" w:after="120" w:line="240" w:lineRule="auto"/>
        <w:rPr>
          <w:rFonts w:cs="Calibri"/>
        </w:rPr>
      </w:pPr>
      <w:r>
        <w:rPr>
          <w:rFonts w:cs="Calibri"/>
        </w:rPr>
        <w:t>Classement du mélange selon CLP déterminé en fonction des données relatives aux composants du mélange.</w:t>
      </w:r>
    </w:p>
    <w:p w14:paraId="543C67B4" w14:textId="77777777" w:rsidR="007A675D" w:rsidRDefault="00000000">
      <w:pPr>
        <w:pStyle w:val="Paragraphedeliste"/>
        <w:numPr>
          <w:ilvl w:val="0"/>
          <w:numId w:val="1"/>
        </w:numPr>
        <w:spacing w:before="120" w:after="120" w:line="240" w:lineRule="auto"/>
        <w:rPr>
          <w:rFonts w:cs="Calibri"/>
        </w:rPr>
      </w:pPr>
      <w:r>
        <w:rPr>
          <w:rFonts w:cs="Calibri"/>
        </w:rPr>
        <w:t>En raison de sa forme solide, de son insolubilité et de sa faible dégradabilité, le produit ne présente aucun risque d'écoulement accidentel ou d'ingestion</w:t>
      </w:r>
      <w:r>
        <w:rPr>
          <w:rFonts w:ascii="Segoe UI" w:hAnsi="Segoe UI" w:cs="Segoe UI"/>
          <w:color w:val="374151"/>
          <w:shd w:val="clear" w:color="auto" w:fill="F7F7F8"/>
        </w:rPr>
        <w:t>.</w:t>
      </w:r>
    </w:p>
    <w:sectPr w:rsidR="007A675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65" w:right="720" w:bottom="765" w:left="709" w:header="708" w:footer="708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BD197" w14:textId="77777777" w:rsidR="008D2196" w:rsidRDefault="008D2196">
      <w:pPr>
        <w:spacing w:after="0" w:line="240" w:lineRule="auto"/>
      </w:pPr>
      <w:r>
        <w:separator/>
      </w:r>
    </w:p>
  </w:endnote>
  <w:endnote w:type="continuationSeparator" w:id="0">
    <w:p w14:paraId="7D60A913" w14:textId="77777777" w:rsidR="008D2196" w:rsidRDefault="008D2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0"/>
    <w:family w:val="swiss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B030A" w14:textId="77777777" w:rsidR="007A675D" w:rsidRDefault="007A675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5252E" w14:textId="77777777" w:rsidR="007A675D" w:rsidRDefault="00000000">
    <w:pPr>
      <w:pStyle w:val="Pieddepage"/>
      <w:jc w:val="right"/>
    </w:pPr>
    <w:r>
      <w:rPr>
        <w:rFonts w:ascii="Arial" w:hAnsi="Arial" w:cs="Arial"/>
        <w:sz w:val="16"/>
        <w:szCs w:val="16"/>
      </w:rPr>
      <w:t xml:space="preserve">Page </w:t>
    </w:r>
    <w:r>
      <w:rPr>
        <w:rFonts w:ascii="Arial" w:hAnsi="Arial" w:cs="Arial"/>
        <w:b/>
        <w:bCs/>
        <w:sz w:val="16"/>
        <w:szCs w:val="16"/>
      </w:rPr>
      <w:fldChar w:fldCharType="begin"/>
    </w:r>
    <w:r>
      <w:rPr>
        <w:rFonts w:ascii="Arial" w:hAnsi="Arial" w:cs="Arial"/>
        <w:b/>
        <w:bCs/>
        <w:sz w:val="16"/>
        <w:szCs w:val="16"/>
      </w:rPr>
      <w:instrText xml:space="preserve"> PAGE </w:instrText>
    </w:r>
    <w:r>
      <w:rPr>
        <w:rFonts w:ascii="Arial" w:hAnsi="Arial" w:cs="Arial"/>
        <w:b/>
        <w:bCs/>
        <w:sz w:val="16"/>
        <w:szCs w:val="16"/>
      </w:rPr>
      <w:fldChar w:fldCharType="separate"/>
    </w:r>
    <w:r>
      <w:rPr>
        <w:rFonts w:ascii="Arial" w:hAnsi="Arial" w:cs="Arial"/>
        <w:b/>
        <w:bCs/>
        <w:sz w:val="16"/>
        <w:szCs w:val="16"/>
      </w:rPr>
      <w:t>8</w:t>
    </w:r>
    <w:r>
      <w:rPr>
        <w:rFonts w:ascii="Arial" w:hAnsi="Arial" w:cs="Arial"/>
        <w:b/>
        <w:bCs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sur </w:t>
    </w:r>
    <w:r>
      <w:rPr>
        <w:rFonts w:ascii="Arial" w:hAnsi="Arial" w:cs="Arial"/>
        <w:b/>
        <w:bCs/>
        <w:sz w:val="16"/>
        <w:szCs w:val="16"/>
      </w:rPr>
      <w:fldChar w:fldCharType="begin"/>
    </w:r>
    <w:r>
      <w:rPr>
        <w:rFonts w:ascii="Arial" w:hAnsi="Arial" w:cs="Arial"/>
        <w:b/>
        <w:bCs/>
        <w:sz w:val="16"/>
        <w:szCs w:val="16"/>
      </w:rPr>
      <w:instrText xml:space="preserve"> NUMPAGES </w:instrText>
    </w:r>
    <w:r>
      <w:rPr>
        <w:rFonts w:ascii="Arial" w:hAnsi="Arial" w:cs="Arial"/>
        <w:b/>
        <w:bCs/>
        <w:sz w:val="16"/>
        <w:szCs w:val="16"/>
      </w:rPr>
      <w:fldChar w:fldCharType="separate"/>
    </w:r>
    <w:r>
      <w:rPr>
        <w:rFonts w:ascii="Arial" w:hAnsi="Arial" w:cs="Arial"/>
        <w:b/>
        <w:bCs/>
        <w:sz w:val="16"/>
        <w:szCs w:val="16"/>
      </w:rPr>
      <w:t>8</w:t>
    </w:r>
    <w:r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2A342" w14:textId="77777777" w:rsidR="007A675D" w:rsidRDefault="00000000">
    <w:pPr>
      <w:pStyle w:val="Pieddepage"/>
      <w:jc w:val="right"/>
    </w:pPr>
    <w:r>
      <w:rPr>
        <w:rFonts w:ascii="Arial" w:hAnsi="Arial" w:cs="Arial"/>
        <w:sz w:val="16"/>
        <w:szCs w:val="16"/>
      </w:rPr>
      <w:t xml:space="preserve">Page </w:t>
    </w:r>
    <w:r>
      <w:rPr>
        <w:rFonts w:ascii="Arial" w:hAnsi="Arial" w:cs="Arial"/>
        <w:b/>
        <w:bCs/>
        <w:sz w:val="16"/>
        <w:szCs w:val="16"/>
      </w:rPr>
      <w:fldChar w:fldCharType="begin"/>
    </w:r>
    <w:r>
      <w:rPr>
        <w:rFonts w:ascii="Arial" w:hAnsi="Arial" w:cs="Arial"/>
        <w:b/>
        <w:bCs/>
        <w:sz w:val="16"/>
        <w:szCs w:val="16"/>
      </w:rPr>
      <w:instrText xml:space="preserve"> PAGE </w:instrText>
    </w:r>
    <w:r>
      <w:rPr>
        <w:rFonts w:ascii="Arial" w:hAnsi="Arial" w:cs="Arial"/>
        <w:b/>
        <w:bCs/>
        <w:sz w:val="16"/>
        <w:szCs w:val="16"/>
      </w:rPr>
      <w:fldChar w:fldCharType="separate"/>
    </w:r>
    <w:r>
      <w:rPr>
        <w:rFonts w:ascii="Arial" w:hAnsi="Arial" w:cs="Arial"/>
        <w:b/>
        <w:bCs/>
        <w:sz w:val="16"/>
        <w:szCs w:val="16"/>
      </w:rPr>
      <w:t>8</w:t>
    </w:r>
    <w:r>
      <w:rPr>
        <w:rFonts w:ascii="Arial" w:hAnsi="Arial" w:cs="Arial"/>
        <w:b/>
        <w:bCs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sur </w:t>
    </w:r>
    <w:r>
      <w:rPr>
        <w:rFonts w:ascii="Arial" w:hAnsi="Arial" w:cs="Arial"/>
        <w:b/>
        <w:bCs/>
        <w:sz w:val="16"/>
        <w:szCs w:val="16"/>
      </w:rPr>
      <w:fldChar w:fldCharType="begin"/>
    </w:r>
    <w:r>
      <w:rPr>
        <w:rFonts w:ascii="Arial" w:hAnsi="Arial" w:cs="Arial"/>
        <w:b/>
        <w:bCs/>
        <w:sz w:val="16"/>
        <w:szCs w:val="16"/>
      </w:rPr>
      <w:instrText xml:space="preserve"> NUMPAGES </w:instrText>
    </w:r>
    <w:r>
      <w:rPr>
        <w:rFonts w:ascii="Arial" w:hAnsi="Arial" w:cs="Arial"/>
        <w:b/>
        <w:bCs/>
        <w:sz w:val="16"/>
        <w:szCs w:val="16"/>
      </w:rPr>
      <w:fldChar w:fldCharType="separate"/>
    </w:r>
    <w:r>
      <w:rPr>
        <w:rFonts w:ascii="Arial" w:hAnsi="Arial" w:cs="Arial"/>
        <w:b/>
        <w:bCs/>
        <w:sz w:val="16"/>
        <w:szCs w:val="16"/>
      </w:rPr>
      <w:t>8</w:t>
    </w:r>
    <w:r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4E7CB" w14:textId="77777777" w:rsidR="008D2196" w:rsidRDefault="008D2196">
      <w:pPr>
        <w:spacing w:after="0" w:line="240" w:lineRule="auto"/>
      </w:pPr>
      <w:r>
        <w:separator/>
      </w:r>
    </w:p>
  </w:footnote>
  <w:footnote w:type="continuationSeparator" w:id="0">
    <w:p w14:paraId="66BBF001" w14:textId="77777777" w:rsidR="008D2196" w:rsidRDefault="008D21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844AA" w14:textId="77777777" w:rsidR="007A675D" w:rsidRDefault="007A675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4AA97" w14:textId="77777777" w:rsidR="007A675D" w:rsidRDefault="00000000">
    <w:pPr>
      <w:shd w:val="clear" w:color="auto" w:fill="2F5496" w:themeFill="accent1" w:themeFillShade="BF"/>
      <w:jc w:val="center"/>
      <w:rPr>
        <w:b/>
        <w:bCs/>
        <w:color w:val="FFFFFF"/>
        <w:sz w:val="36"/>
        <w:szCs w:val="36"/>
      </w:rPr>
    </w:pPr>
    <w:r>
      <w:rPr>
        <w:b/>
        <w:bCs/>
        <w:color w:val="FFFFFF"/>
        <w:sz w:val="36"/>
        <w:szCs w:val="36"/>
      </w:rPr>
      <w:t>FICHE DE DONNEES DE SECURITE</w:t>
    </w:r>
  </w:p>
  <w:p w14:paraId="3D211056" w14:textId="77777777" w:rsidR="007A675D" w:rsidRDefault="00000000">
    <w:pPr>
      <w:jc w:val="center"/>
      <w:rPr>
        <w:sz w:val="18"/>
        <w:szCs w:val="18"/>
      </w:rPr>
    </w:pPr>
    <w:r>
      <w:rPr>
        <w:sz w:val="18"/>
        <w:szCs w:val="18"/>
      </w:rPr>
      <w:t>Conformément au Règlement REACH (CE) No. 1907/2006 et à son annexe II Règlement (CE) No. 2020/878</w:t>
    </w:r>
    <w:r>
      <w:br/>
    </w:r>
    <w:r>
      <w:rPr>
        <w:sz w:val="18"/>
        <w:szCs w:val="18"/>
      </w:rPr>
      <w:t>Date d’émission : 15/04/2026 Date de révision : 15/04/2026 Version : 1.0</w:t>
    </w:r>
  </w:p>
  <w:p w14:paraId="387C96E6" w14:textId="77777777" w:rsidR="007A675D" w:rsidRDefault="00000000">
    <w:pPr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Bougie bois de santal 10%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53387" w14:textId="77777777" w:rsidR="007A675D" w:rsidRDefault="00000000">
    <w:pPr>
      <w:shd w:val="clear" w:color="auto" w:fill="2F5496" w:themeFill="accent1" w:themeFillShade="BF"/>
      <w:jc w:val="center"/>
      <w:rPr>
        <w:b/>
        <w:bCs/>
        <w:color w:val="FFFFFF"/>
        <w:sz w:val="36"/>
        <w:szCs w:val="36"/>
      </w:rPr>
    </w:pPr>
    <w:r>
      <w:rPr>
        <w:b/>
        <w:bCs/>
        <w:color w:val="FFFFFF"/>
        <w:sz w:val="36"/>
        <w:szCs w:val="36"/>
      </w:rPr>
      <w:t>FICHE DE DONNEES DE SECURITE</w:t>
    </w:r>
  </w:p>
  <w:p w14:paraId="3C36B80E" w14:textId="77777777" w:rsidR="007A675D" w:rsidRDefault="00000000">
    <w:pPr>
      <w:jc w:val="center"/>
      <w:rPr>
        <w:sz w:val="18"/>
        <w:szCs w:val="18"/>
      </w:rPr>
    </w:pPr>
    <w:r>
      <w:rPr>
        <w:sz w:val="18"/>
        <w:szCs w:val="18"/>
      </w:rPr>
      <w:t>Conformément au Règlement REACH (CE) No. 1907/2006 et à son annexe II Règlement (CE) No. 2020/878</w:t>
    </w:r>
    <w:r>
      <w:br/>
    </w:r>
    <w:r>
      <w:rPr>
        <w:sz w:val="18"/>
        <w:szCs w:val="18"/>
      </w:rPr>
      <w:t>Date d’émission : 15/04/2026 Date de révision : 15/04/2026 Version : 1.0</w:t>
    </w:r>
  </w:p>
  <w:p w14:paraId="1A3FCE26" w14:textId="77777777" w:rsidR="007A675D" w:rsidRDefault="00000000">
    <w:pPr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Bougie bois de santal 10%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61D49"/>
    <w:multiLevelType w:val="multilevel"/>
    <w:tmpl w:val="2BFCD556"/>
    <w:lvl w:ilvl="0">
      <w:start w:val="1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90E1D5B"/>
    <w:multiLevelType w:val="multilevel"/>
    <w:tmpl w:val="D10C461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03122445">
    <w:abstractNumId w:val="0"/>
  </w:num>
  <w:num w:numId="2" w16cid:durableId="12241037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75D"/>
    <w:rsid w:val="007A675D"/>
    <w:rsid w:val="008D2196"/>
    <w:rsid w:val="00CC4907"/>
    <w:rsid w:val="00F4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0F4C9"/>
  <w15:docId w15:val="{E3CF53DD-C668-4471-A771-74F959A04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4FFD"/>
    <w:pPr>
      <w:spacing w:after="160" w:line="245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ieddepageCar">
    <w:name w:val="Pied de page Car"/>
    <w:basedOn w:val="Policepardfaut"/>
    <w:link w:val="Pieddepage"/>
    <w:qFormat/>
    <w:rsid w:val="00B84FFD"/>
    <w:rPr>
      <w:rFonts w:ascii="Calibri" w:eastAsia="Calibri" w:hAnsi="Calibri" w:cs="Times New Roman"/>
      <w:kern w:val="0"/>
      <w14:ligatures w14:val="none"/>
    </w:rPr>
  </w:style>
  <w:style w:type="character" w:customStyle="1" w:styleId="SDSTableTextNormalChar">
    <w:name w:val="SDS_TableText_Normal Char"/>
    <w:link w:val="SDSTableTextNormal"/>
    <w:uiPriority w:val="12"/>
    <w:qFormat/>
    <w:rsid w:val="00B84FFD"/>
    <w:rPr>
      <w:rFonts w:ascii="Arial" w:eastAsia="Times New Roman" w:hAnsi="Arial" w:cs="Arial"/>
      <w:kern w:val="0"/>
      <w:sz w:val="16"/>
      <w:szCs w:val="12"/>
      <w:lang w:val="en-GB" w:eastAsia="nl-NL"/>
      <w14:ligatures w14:val="none"/>
    </w:rPr>
  </w:style>
  <w:style w:type="character" w:customStyle="1" w:styleId="SDSTableTextCenteredChar">
    <w:name w:val="SDS_TableText_Centered Char"/>
    <w:link w:val="SDSTableTextCentered"/>
    <w:uiPriority w:val="16"/>
    <w:qFormat/>
    <w:rsid w:val="00B84FFD"/>
    <w:rPr>
      <w:rFonts w:ascii="Arial" w:eastAsia="Times New Roman" w:hAnsi="Arial" w:cs="Arial"/>
      <w:kern w:val="0"/>
      <w:sz w:val="16"/>
      <w:szCs w:val="12"/>
      <w:lang w:val="en-GB" w:eastAsia="nl-NL"/>
      <w14:ligatures w14:val="none"/>
    </w:rPr>
  </w:style>
  <w:style w:type="character" w:customStyle="1" w:styleId="SDSTableTextColonColumnChar">
    <w:name w:val="SDS_TableText_ColonColumn Char"/>
    <w:link w:val="SDSTableTextColonColumn"/>
    <w:uiPriority w:val="16"/>
    <w:qFormat/>
    <w:rsid w:val="00B84FFD"/>
    <w:rPr>
      <w:rFonts w:ascii="Arial" w:eastAsia="Times New Roman" w:hAnsi="Arial" w:cs="Arial"/>
      <w:kern w:val="0"/>
      <w:sz w:val="16"/>
      <w:szCs w:val="12"/>
      <w:lang w:val="en-GB" w:eastAsia="nl-NL"/>
      <w14:ligatures w14:val="none"/>
    </w:rPr>
  </w:style>
  <w:style w:type="character" w:customStyle="1" w:styleId="En-tteCar">
    <w:name w:val="En-tête Car"/>
    <w:basedOn w:val="Policepardfaut"/>
    <w:link w:val="En-tte"/>
    <w:uiPriority w:val="99"/>
    <w:qFormat/>
    <w:rsid w:val="00B45857"/>
    <w:rPr>
      <w:rFonts w:ascii="Calibri" w:eastAsia="Calibri" w:hAnsi="Calibri" w:cs="Times New Roman"/>
      <w:kern w:val="0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qFormat/>
    <w:rsid w:val="00C410B2"/>
    <w:rPr>
      <w:rFonts w:ascii="Arial MT" w:eastAsia="Arial MT" w:hAnsi="Arial MT" w:cs="Arial MT"/>
      <w:kern w:val="0"/>
      <w:sz w:val="16"/>
      <w:szCs w:val="16"/>
      <w14:ligatures w14:val="none"/>
    </w:rPr>
  </w:style>
  <w:style w:type="character" w:customStyle="1" w:styleId="SDSTableTextHeading1Char">
    <w:name w:val="SDS_TableText_Heading1 Char"/>
    <w:link w:val="SDSTableTextHeading1"/>
    <w:uiPriority w:val="12"/>
    <w:qFormat/>
    <w:rsid w:val="00707D00"/>
    <w:rPr>
      <w:rFonts w:ascii="Arial" w:eastAsia="Times New Roman" w:hAnsi="Arial" w:cs="Arial"/>
      <w:b/>
      <w:color w:val="0070C0"/>
      <w:kern w:val="0"/>
      <w:sz w:val="18"/>
      <w:szCs w:val="16"/>
      <w:lang w:val="en-GB" w:eastAsia="nl-NL"/>
      <w14:ligatures w14:val="none"/>
    </w:rPr>
  </w:style>
  <w:style w:type="character" w:customStyle="1" w:styleId="SDSTextBlankLineChar">
    <w:name w:val="SDS_Text_BlankLine Char"/>
    <w:link w:val="SDSTextBlankLine"/>
    <w:uiPriority w:val="8"/>
    <w:qFormat/>
    <w:rsid w:val="00431C6F"/>
    <w:rPr>
      <w:rFonts w:ascii="Arial" w:eastAsia="Times New Roman" w:hAnsi="Arial" w:cs="Arial"/>
      <w:kern w:val="0"/>
      <w:sz w:val="2"/>
      <w:szCs w:val="16"/>
      <w:lang w:val="en-GB" w:eastAsia="nl-NL"/>
      <w14:ligatures w14:val="none"/>
    </w:rPr>
  </w:style>
  <w:style w:type="character" w:styleId="Lienhypertexte">
    <w:name w:val="Hyperlink"/>
    <w:basedOn w:val="Policepardfaut"/>
    <w:uiPriority w:val="99"/>
    <w:unhideWhenUsed/>
    <w:rsid w:val="00F065E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qFormat/>
    <w:rsid w:val="00F065EE"/>
    <w:rPr>
      <w:color w:val="605E5C"/>
      <w:shd w:val="clear" w:color="auto" w:fill="E1DFDD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link w:val="CorpsdetexteCar"/>
    <w:uiPriority w:val="1"/>
    <w:qFormat/>
    <w:rsid w:val="00C410B2"/>
    <w:pPr>
      <w:widowControl w:val="0"/>
      <w:suppressAutoHyphens w:val="0"/>
      <w:spacing w:after="0" w:line="240" w:lineRule="auto"/>
      <w:textAlignment w:val="auto"/>
    </w:pPr>
    <w:rPr>
      <w:rFonts w:ascii="Arial MT" w:eastAsia="Arial MT" w:hAnsi="Arial MT" w:cs="Arial MT"/>
      <w:sz w:val="16"/>
      <w:szCs w:val="16"/>
    </w:r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En-tteetpieddepage">
    <w:name w:val="En-tête et pied de page"/>
    <w:basedOn w:val="Normal"/>
    <w:qFormat/>
  </w:style>
  <w:style w:type="paragraph" w:styleId="Pieddepage">
    <w:name w:val="footer"/>
    <w:basedOn w:val="Normal"/>
    <w:link w:val="PieddepageCar"/>
    <w:rsid w:val="00B84FFD"/>
    <w:pPr>
      <w:tabs>
        <w:tab w:val="center" w:pos="4536"/>
        <w:tab w:val="right" w:pos="9072"/>
      </w:tabs>
      <w:spacing w:after="0" w:line="240" w:lineRule="auto"/>
    </w:pPr>
  </w:style>
  <w:style w:type="paragraph" w:styleId="Paragraphedeliste">
    <w:name w:val="List Paragraph"/>
    <w:basedOn w:val="Normal"/>
    <w:qFormat/>
    <w:rsid w:val="00B84FFD"/>
    <w:pPr>
      <w:ind w:left="720"/>
    </w:pPr>
  </w:style>
  <w:style w:type="paragraph" w:customStyle="1" w:styleId="SDSTableTextNormal">
    <w:name w:val="SDS_TableText_Normal"/>
    <w:link w:val="SDSTableTextNormalChar"/>
    <w:uiPriority w:val="12"/>
    <w:qFormat/>
    <w:rsid w:val="00B84FFD"/>
    <w:pPr>
      <w:keepLines/>
      <w:spacing w:line="288" w:lineRule="auto"/>
    </w:pPr>
    <w:rPr>
      <w:rFonts w:ascii="Arial" w:eastAsia="Times New Roman" w:hAnsi="Arial" w:cs="Arial"/>
      <w:kern w:val="0"/>
      <w:sz w:val="16"/>
      <w:szCs w:val="12"/>
      <w:lang w:val="en-GB" w:eastAsia="nl-NL"/>
      <w14:ligatures w14:val="none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qFormat/>
    <w:rsid w:val="00B84FFD"/>
    <w:pPr>
      <w:jc w:val="center"/>
    </w:p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qFormat/>
    <w:rsid w:val="00B84FFD"/>
    <w:pPr>
      <w:jc w:val="center"/>
    </w:pPr>
  </w:style>
  <w:style w:type="paragraph" w:styleId="En-tte">
    <w:name w:val="header"/>
    <w:basedOn w:val="Normal"/>
    <w:link w:val="En-tteCar"/>
    <w:uiPriority w:val="99"/>
    <w:unhideWhenUsed/>
    <w:rsid w:val="00B45857"/>
    <w:pPr>
      <w:tabs>
        <w:tab w:val="center" w:pos="4513"/>
        <w:tab w:val="right" w:pos="9026"/>
      </w:tabs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FB18EA"/>
    <w:pPr>
      <w:widowControl w:val="0"/>
      <w:suppressAutoHyphens w:val="0"/>
      <w:spacing w:before="65" w:after="0" w:line="240" w:lineRule="auto"/>
      <w:ind w:left="57"/>
      <w:textAlignment w:val="auto"/>
    </w:pPr>
    <w:rPr>
      <w:rFonts w:ascii="Arial MT" w:eastAsia="Arial MT" w:hAnsi="Arial MT" w:cs="Arial MT"/>
    </w:rPr>
  </w:style>
  <w:style w:type="paragraph" w:customStyle="1" w:styleId="SDSTableTextHeading1">
    <w:name w:val="SDS_TableText_Heading1"/>
    <w:link w:val="SDSTableTextHeading1Char"/>
    <w:uiPriority w:val="12"/>
    <w:qFormat/>
    <w:rsid w:val="00707D00"/>
    <w:pPr>
      <w:keepNext/>
      <w:keepLines/>
      <w:spacing w:line="288" w:lineRule="auto"/>
    </w:pPr>
    <w:rPr>
      <w:rFonts w:ascii="Arial" w:eastAsia="Times New Roman" w:hAnsi="Arial" w:cs="Arial"/>
      <w:b/>
      <w:color w:val="0070C0"/>
      <w:kern w:val="0"/>
      <w:sz w:val="18"/>
      <w:szCs w:val="16"/>
      <w:lang w:val="en-GB" w:eastAsia="nl-NL"/>
      <w14:ligatures w14:val="none"/>
    </w:rPr>
  </w:style>
  <w:style w:type="paragraph" w:customStyle="1" w:styleId="SDSTextBlankLine">
    <w:name w:val="SDS_Text_BlankLine"/>
    <w:link w:val="SDSTextBlankLineChar"/>
    <w:uiPriority w:val="8"/>
    <w:qFormat/>
    <w:rsid w:val="00431C6F"/>
    <w:rPr>
      <w:rFonts w:ascii="Arial" w:eastAsia="Times New Roman" w:hAnsi="Arial" w:cs="Arial"/>
      <w:kern w:val="0"/>
      <w:sz w:val="2"/>
      <w:szCs w:val="16"/>
      <w:lang w:val="en-GB" w:eastAsia="nl-NL"/>
      <w14:ligatures w14:val="none"/>
    </w:rPr>
  </w:style>
  <w:style w:type="numbering" w:customStyle="1" w:styleId="Pasdeliste">
    <w:name w:val="Pas de liste"/>
    <w:uiPriority w:val="99"/>
    <w:semiHidden/>
    <w:unhideWhenUsed/>
    <w:qFormat/>
  </w:style>
  <w:style w:type="table" w:styleId="Grilledutableau">
    <w:name w:val="Table Grid"/>
    <w:basedOn w:val="TableauNormal"/>
    <w:uiPriority w:val="39"/>
    <w:rsid w:val="00B84F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DSTableWithoutBorders">
    <w:name w:val="SDS_Table_WithoutBorders"/>
    <w:basedOn w:val="TableauNormal"/>
    <w:rsid w:val="00B84FFD"/>
    <w:rPr>
      <w:sz w:val="16"/>
      <w:szCs w:val="20"/>
      <w:lang w:val="en-GB" w:eastAsia="en-GB"/>
    </w:rPr>
    <w:tblPr>
      <w:tblCellMar>
        <w:left w:w="0" w:type="dxa"/>
        <w:right w:w="0" w:type="dxa"/>
      </w:tblCellMar>
    </w:tblPr>
    <w:tcPr>
      <w:shd w:val="clear" w:color="auto" w:fill="auto"/>
    </w:tcPr>
  </w:style>
  <w:style w:type="table" w:customStyle="1" w:styleId="TableNormal">
    <w:name w:val="Table Normal"/>
    <w:uiPriority w:val="2"/>
    <w:semiHidden/>
    <w:unhideWhenUsed/>
    <w:qFormat/>
    <w:rsid w:val="00FB18E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243BE9"/>
    <w:rPr>
      <w:rFonts w:eastAsiaTheme="minorEastAsia"/>
      <w:sz w:val="24"/>
      <w:szCs w:val="24"/>
      <w:lang w:eastAsia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DSTableWithBordersWithHeaderRow">
    <w:name w:val="SDS_Table_WithBorders_WithHeaderRow"/>
    <w:basedOn w:val="TableauNormal"/>
    <w:rsid w:val="00707D00"/>
    <w:rPr>
      <w:sz w:val="16"/>
      <w:szCs w:val="16"/>
      <w:lang w:val="en-GB" w:eastAsia="en-GB"/>
    </w:r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tblPr/>
      <w:tcPr>
        <w:shd w:val="clear" w:color="auto" w:fill="BDD6EE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fo@quinncrafts.f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2044</Words>
  <Characters>11242</Characters>
  <Application>Microsoft Office Word</Application>
  <DocSecurity>0</DocSecurity>
  <Lines>93</Lines>
  <Paragraphs>26</Paragraphs>
  <ScaleCrop>false</ScaleCrop>
  <Company/>
  <LinksUpToDate>false</LinksUpToDate>
  <CharactersWithSpaces>13260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Maël Minet</dc:creator>
  <dc:description/>
  <cp:lastModifiedBy>Maël Minet</cp:lastModifiedBy>
  <cp:revision>958</cp:revision>
  <dcterms:created xsi:type="dcterms:W3CDTF">2023-08-01T09:04:00Z</dcterms:created>
  <dcterms:modified xsi:type="dcterms:W3CDTF">2026-10-05T13:28:00Z</dcterms:modified>
  <dc:language>fr-FR</dc:language>
</cp:coreProperties>
</file>